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64" w:rsidRPr="00DE185C" w:rsidRDefault="0068516E" w:rsidP="00CB3203">
      <w:pPr>
        <w:pStyle w:val="NoSpacing"/>
        <w:rPr>
          <w:rFonts w:ascii="Calibri" w:hAnsi="Calibri"/>
        </w:rPr>
      </w:pPr>
      <w:r w:rsidRPr="00DE185C">
        <w:rPr>
          <w:rFonts w:ascii="Calibri" w:hAnsi="Calibri"/>
          <w:noProof/>
          <w:lang w:eastAsia="zh-CN"/>
        </w:rPr>
        <mc:AlternateContent>
          <mc:Choice Requires="wps">
            <w:drawing>
              <wp:anchor distT="0" distB="0" distL="114300" distR="114300" simplePos="0" relativeHeight="251651583" behindDoc="0" locked="0" layoutInCell="1" allowOverlap="1" wp14:anchorId="1892FCDE" wp14:editId="59FB8A44">
                <wp:simplePos x="0" y="0"/>
                <wp:positionH relativeFrom="column">
                  <wp:posOffset>-329609</wp:posOffset>
                </wp:positionH>
                <wp:positionV relativeFrom="paragraph">
                  <wp:posOffset>-233916</wp:posOffset>
                </wp:positionV>
                <wp:extent cx="6528435" cy="3891516"/>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3891516"/>
                        </a:xfrm>
                        <a:prstGeom prst="rect">
                          <a:avLst/>
                        </a:prstGeom>
                        <a:noFill/>
                        <a:ln w="9525">
                          <a:noFill/>
                          <a:miter lim="800000"/>
                          <a:headEnd/>
                          <a:tailEnd/>
                        </a:ln>
                      </wps:spPr>
                      <wps:txbx>
                        <w:txbxContent>
                          <w:p w:rsidR="006909BC" w:rsidRDefault="006909BC" w:rsidP="00CF065F">
                            <w:pPr>
                              <w:pStyle w:val="BasicParagraph"/>
                              <w:jc w:val="both"/>
                              <w:rPr>
                                <w:color w:val="325993"/>
                                <w:sz w:val="60"/>
                                <w:szCs w:val="60"/>
                              </w:rPr>
                            </w:pPr>
                            <w:r>
                              <w:rPr>
                                <w:color w:val="325993"/>
                                <w:sz w:val="60"/>
                                <w:szCs w:val="60"/>
                              </w:rPr>
                              <w:t>San Diego Regional Alternative Fuel</w:t>
                            </w:r>
                          </w:p>
                          <w:p w:rsidR="006909BC" w:rsidRDefault="006909BC" w:rsidP="00CF065F">
                            <w:pPr>
                              <w:pStyle w:val="BasicParagraph"/>
                              <w:jc w:val="both"/>
                              <w:rPr>
                                <w:color w:val="58595B"/>
                                <w:sz w:val="60"/>
                                <w:szCs w:val="60"/>
                              </w:rPr>
                            </w:pPr>
                            <w:r>
                              <w:rPr>
                                <w:color w:val="325993"/>
                                <w:sz w:val="60"/>
                                <w:szCs w:val="60"/>
                              </w:rPr>
                              <w:t>Assessment</w:t>
                            </w:r>
                          </w:p>
                          <w:p w:rsidR="006909BC" w:rsidRDefault="006909BC" w:rsidP="0061764B">
                            <w:pPr>
                              <w:pStyle w:val="BasicParagraph"/>
                              <w:rPr>
                                <w:rFonts w:ascii="Myriad Pro Light" w:hAnsi="Myriad Pro Light" w:cs="Myriad Pro Light"/>
                                <w:i/>
                                <w:iCs/>
                                <w:color w:val="58595B"/>
                                <w:sz w:val="36"/>
                                <w:szCs w:val="36"/>
                              </w:rPr>
                            </w:pPr>
                            <w:r>
                              <w:rPr>
                                <w:rFonts w:ascii="Myriad Pro Light" w:hAnsi="Myriad Pro Light" w:cs="Myriad Pro Light"/>
                                <w:i/>
                                <w:iCs/>
                                <w:noProof/>
                                <w:color w:val="58595B"/>
                                <w:sz w:val="36"/>
                                <w:szCs w:val="36"/>
                                <w:lang w:eastAsia="zh-CN"/>
                              </w:rPr>
                              <w:drawing>
                                <wp:inline distT="0" distB="0" distL="0" distR="0" wp14:anchorId="2628C758" wp14:editId="0574454D">
                                  <wp:extent cx="6336665" cy="2526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6665" cy="25263"/>
                                          </a:xfrm>
                                          <a:prstGeom prst="rect">
                                            <a:avLst/>
                                          </a:prstGeom>
                                          <a:noFill/>
                                          <a:ln>
                                            <a:noFill/>
                                          </a:ln>
                                        </pic:spPr>
                                      </pic:pic>
                                    </a:graphicData>
                                  </a:graphic>
                                </wp:inline>
                              </w:drawing>
                            </w:r>
                          </w:p>
                          <w:p w:rsidR="006909BC" w:rsidRDefault="006909BC" w:rsidP="0061764B">
                            <w:pPr>
                              <w:pStyle w:val="BasicParagraph"/>
                              <w:spacing w:before="180"/>
                              <w:rPr>
                                <w:rFonts w:ascii="Myriad Pro Light" w:hAnsi="Myriad Pro Light" w:cs="Myriad Pro Light"/>
                                <w:color w:val="58595B"/>
                                <w:sz w:val="32"/>
                                <w:szCs w:val="32"/>
                              </w:rPr>
                            </w:pPr>
                            <w:r>
                              <w:rPr>
                                <w:rFonts w:ascii="Myriad Pro Light" w:hAnsi="Myriad Pro Light" w:cs="Myriad Pro Light"/>
                                <w:color w:val="58595B"/>
                                <w:sz w:val="32"/>
                                <w:szCs w:val="32"/>
                              </w:rPr>
                              <w:t>March 2015</w:t>
                            </w:r>
                          </w:p>
                          <w:p w:rsidR="006909BC" w:rsidRDefault="006909BC" w:rsidP="0061764B">
                            <w:pPr>
                              <w:pStyle w:val="BasicParagraph"/>
                              <w:spacing w:before="180"/>
                              <w:rPr>
                                <w:color w:val="58595B"/>
                                <w:sz w:val="32"/>
                                <w:szCs w:val="32"/>
                              </w:rPr>
                            </w:pPr>
                            <w:r>
                              <w:rPr>
                                <w:rFonts w:ascii="Myriad Pro Light" w:hAnsi="Myriad Pro Light" w:cs="Myriad Pro Light"/>
                                <w:i/>
                                <w:iCs/>
                                <w:color w:val="58595B"/>
                                <w:sz w:val="28"/>
                                <w:szCs w:val="28"/>
                              </w:rPr>
                              <w:t>Prepared for</w:t>
                            </w:r>
                            <w:r>
                              <w:rPr>
                                <w:caps/>
                                <w:color w:val="58595B"/>
                                <w:sz w:val="28"/>
                                <w:szCs w:val="28"/>
                              </w:rPr>
                              <w:t xml:space="preserve"> </w:t>
                            </w:r>
                            <w:r>
                              <w:rPr>
                                <w:caps/>
                                <w:color w:val="58595B"/>
                                <w:sz w:val="28"/>
                                <w:szCs w:val="28"/>
                              </w:rPr>
                              <w:br/>
                            </w:r>
                            <w:r>
                              <w:rPr>
                                <w:color w:val="58595B"/>
                                <w:sz w:val="32"/>
                                <w:szCs w:val="32"/>
                              </w:rPr>
                              <w:t>San Diego Association of Governments</w:t>
                            </w:r>
                          </w:p>
                          <w:p w:rsidR="006909BC" w:rsidRDefault="006909BC" w:rsidP="000612C1">
                            <w:pPr>
                              <w:pStyle w:val="BasicParagraph"/>
                              <w:spacing w:line="240" w:lineRule="auto"/>
                              <w:rPr>
                                <w:rFonts w:ascii="Myriad Pro Light" w:hAnsi="Myriad Pro Light" w:cs="Myriad Pro Light"/>
                                <w:i/>
                                <w:iCs/>
                                <w:color w:val="58595B"/>
                                <w:sz w:val="28"/>
                                <w:szCs w:val="28"/>
                              </w:rPr>
                            </w:pPr>
                            <w:r>
                              <w:rPr>
                                <w:rFonts w:ascii="Myriad Pro Light" w:hAnsi="Myriad Pro Light" w:cs="Myriad Pro Light"/>
                                <w:i/>
                                <w:iCs/>
                                <w:color w:val="58595B"/>
                                <w:sz w:val="28"/>
                                <w:szCs w:val="28"/>
                              </w:rPr>
                              <w:t>In Support of</w:t>
                            </w:r>
                          </w:p>
                          <w:p w:rsidR="006909BC" w:rsidRPr="00797F6F" w:rsidRDefault="006909BC" w:rsidP="000612C1">
                            <w:pPr>
                              <w:pStyle w:val="BasicParagraph"/>
                              <w:spacing w:before="0"/>
                              <w:rPr>
                                <w:rFonts w:asciiTheme="majorHAnsi" w:hAnsiTheme="majorHAnsi" w:cs="Myriad Pro Light"/>
                                <w:iCs/>
                                <w:color w:val="58595B"/>
                                <w:sz w:val="32"/>
                                <w:szCs w:val="32"/>
                              </w:rPr>
                            </w:pPr>
                            <w:r w:rsidRPr="00797F6F">
                              <w:rPr>
                                <w:rFonts w:asciiTheme="majorHAnsi" w:hAnsiTheme="majorHAnsi" w:cs="Myriad Pro Light"/>
                                <w:iCs/>
                                <w:color w:val="58595B"/>
                                <w:sz w:val="32"/>
                                <w:szCs w:val="32"/>
                              </w:rPr>
                              <w:t>California Energy Commission Award ARV-13-013</w:t>
                            </w:r>
                          </w:p>
                          <w:p w:rsidR="006909BC" w:rsidRDefault="006909BC" w:rsidP="0061764B">
                            <w:pPr>
                              <w:pStyle w:val="BasicParagraph"/>
                              <w:rPr>
                                <w:color w:val="58595B"/>
                                <w:sz w:val="32"/>
                                <w:szCs w:val="32"/>
                              </w:rPr>
                            </w:pPr>
                            <w:r>
                              <w:rPr>
                                <w:rFonts w:ascii="Myriad Pro Light" w:hAnsi="Myriad Pro Light" w:cs="Myriad Pro Light"/>
                                <w:i/>
                                <w:iCs/>
                                <w:color w:val="58595B"/>
                                <w:sz w:val="28"/>
                                <w:szCs w:val="28"/>
                              </w:rPr>
                              <w:t>Prepared by</w:t>
                            </w:r>
                            <w:r>
                              <w:rPr>
                                <w:rFonts w:ascii="Myriad Pro Light" w:hAnsi="Myriad Pro Light" w:cs="Myriad Pro Light"/>
                                <w:i/>
                                <w:iCs/>
                                <w:color w:val="58595B"/>
                                <w:sz w:val="28"/>
                                <w:szCs w:val="28"/>
                              </w:rPr>
                              <w:br/>
                            </w:r>
                            <w:r>
                              <w:rPr>
                                <w:color w:val="58595B"/>
                                <w:sz w:val="32"/>
                                <w:szCs w:val="32"/>
                              </w:rPr>
                              <w:t xml:space="preserve">Center for Sustainable Energy </w:t>
                            </w:r>
                            <w:r w:rsidR="00E15301">
                              <w:rPr>
                                <w:color w:val="58595B"/>
                                <w:sz w:val="32"/>
                                <w:szCs w:val="32"/>
                              </w:rPr>
                              <w:t>on behalf</w:t>
                            </w:r>
                            <w:r>
                              <w:rPr>
                                <w:color w:val="58595B"/>
                                <w:sz w:val="32"/>
                                <w:szCs w:val="32"/>
                              </w:rPr>
                              <w:t xml:space="preserve"> of San Diego Regional Clean Cities Coalition</w:t>
                            </w:r>
                          </w:p>
                          <w:p w:rsidR="006909BC" w:rsidRPr="00027169" w:rsidRDefault="006909BC" w:rsidP="005405DA">
                            <w:pPr>
                              <w:rPr>
                                <w:rFonts w:ascii="Myriad Pro Light" w:hAnsi="Myriad Pro Light"/>
                                <w:color w:val="005997"/>
                                <w:sz w:val="42"/>
                                <w:szCs w:val="4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5pt;margin-top:-18.4pt;width:514.05pt;height:306.4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NNDAIAAPQDAAAOAAAAZHJzL2Uyb0RvYy54bWysU21v2yAQ/j5p/wHxfXHsxllixam6dp0m&#10;dS9Sux+AMY7RgGNAYme/vgdO02j7No0PCLi75+557thcj1qRg3BegqlpPptTIgyHVppdTX883b9b&#10;UeIDMy1TYERNj8LT6+3bN5vBVqKAHlQrHEEQ46vB1rQPwVZZ5nkvNPMzsMKgsQOnWcCr22WtYwOi&#10;a5UV8/kyG8C11gEX3uPr3WSk24TfdYKHb13nRSCqplhbSLtLexP3bLth1c4x20t+KoP9QxWaSYNJ&#10;z1B3LDCyd/IvKC25Aw9dmHHQGXSd5CJxQDb5/A82jz2zInFBcbw9y+T/Hyz/evjuiGyxdyiPYRp7&#10;9CTGQD7ASIooz2B9hV6PFv3CiM/omqh6+wD8pycGbntmduLGORh6wVosL4+R2UXohOMjSDN8gRbT&#10;sH2ABDR2TkftUA2C6FjH8dyaWArHx2VZrBZXJSUcbVerdV7my5SDVS/h1vnwSYAm8VBTh71P8Ozw&#10;4EMsh1UvLjGbgXupVOq/MmSo6bosyhRwYdEy4HgqqWu6msc1DUxk+dG0KTgwqaYzJlDmRDsynTiH&#10;sRnRMWrRQHtEARxMY4jfBg89uN+UDDiCNfW/9swJStRngyKu88Uizmy6LMr3BV7cpaW5tDDDEaqm&#10;gZLpeBvSnE9cb1DsTiYZXis51YqjldQ5fYM4u5f35PX6WbfPAAAA//8DAFBLAwQUAAYACAAAACEA&#10;oAvLE+AAAAALAQAADwAAAGRycy9kb3ducmV2LnhtbEyPTU/DMAyG70j7D5GRuG3JBu1oaTohENch&#10;xofELWu8tlrjVE22ln+Pd4KbLT96/bzFZnKdOOMQWk8algsFAqnytqVaw8f7y/weRIiGrOk8oYYf&#10;DLApZ1eFya0f6Q3Pu1gLDqGQGw1NjH0uZagadCYsfI/Et4MfnIm8DrW0gxk53HVypVQqnWmJPzSm&#10;x6cGq+Pu5DR8bg/fX3fqtX52ST/6SUlymdT65np6fAARcYp/MFz0WR1Kdtr7E9kgOg3zZJkxysNt&#10;yh2YyNbpCsReQ7JOFciykP87lL8AAAD//wMAUEsBAi0AFAAGAAgAAAAhALaDOJL+AAAA4QEAABMA&#10;AAAAAAAAAAAAAAAAAAAAAFtDb250ZW50X1R5cGVzXS54bWxQSwECLQAUAAYACAAAACEAOP0h/9YA&#10;AACUAQAACwAAAAAAAAAAAAAAAAAvAQAAX3JlbHMvLnJlbHNQSwECLQAUAAYACAAAACEABVmjTQwC&#10;AAD0AwAADgAAAAAAAAAAAAAAAAAuAgAAZHJzL2Uyb0RvYy54bWxQSwECLQAUAAYACAAAACEAoAvL&#10;E+AAAAALAQAADwAAAAAAAAAAAAAAAABmBAAAZHJzL2Rvd25yZXYueG1sUEsFBgAAAAAEAAQA8wAA&#10;AHMFAAAAAA==&#10;" filled="f" stroked="f">
                <v:textbox>
                  <w:txbxContent>
                    <w:p w:rsidR="006909BC" w:rsidRDefault="006909BC" w:rsidP="00CF065F">
                      <w:pPr>
                        <w:pStyle w:val="BasicParagraph"/>
                        <w:jc w:val="both"/>
                        <w:rPr>
                          <w:color w:val="325993"/>
                          <w:sz w:val="60"/>
                          <w:szCs w:val="60"/>
                        </w:rPr>
                      </w:pPr>
                      <w:r>
                        <w:rPr>
                          <w:color w:val="325993"/>
                          <w:sz w:val="60"/>
                          <w:szCs w:val="60"/>
                        </w:rPr>
                        <w:t>San Diego Regional Alternative Fuel</w:t>
                      </w:r>
                    </w:p>
                    <w:p w:rsidR="006909BC" w:rsidRDefault="006909BC" w:rsidP="00CF065F">
                      <w:pPr>
                        <w:pStyle w:val="BasicParagraph"/>
                        <w:jc w:val="both"/>
                        <w:rPr>
                          <w:color w:val="58595B"/>
                          <w:sz w:val="60"/>
                          <w:szCs w:val="60"/>
                        </w:rPr>
                      </w:pPr>
                      <w:r>
                        <w:rPr>
                          <w:color w:val="325993"/>
                          <w:sz w:val="60"/>
                          <w:szCs w:val="60"/>
                        </w:rPr>
                        <w:t>Assessment</w:t>
                      </w:r>
                    </w:p>
                    <w:p w:rsidR="006909BC" w:rsidRDefault="006909BC" w:rsidP="0061764B">
                      <w:pPr>
                        <w:pStyle w:val="BasicParagraph"/>
                        <w:rPr>
                          <w:rFonts w:ascii="Myriad Pro Light" w:hAnsi="Myriad Pro Light" w:cs="Myriad Pro Light"/>
                          <w:i/>
                          <w:iCs/>
                          <w:color w:val="58595B"/>
                          <w:sz w:val="36"/>
                          <w:szCs w:val="36"/>
                        </w:rPr>
                      </w:pPr>
                      <w:r>
                        <w:rPr>
                          <w:rFonts w:ascii="Myriad Pro Light" w:hAnsi="Myriad Pro Light" w:cs="Myriad Pro Light"/>
                          <w:i/>
                          <w:iCs/>
                          <w:noProof/>
                          <w:color w:val="58595B"/>
                          <w:sz w:val="36"/>
                          <w:szCs w:val="36"/>
                          <w:lang w:eastAsia="zh-CN"/>
                        </w:rPr>
                        <w:drawing>
                          <wp:inline distT="0" distB="0" distL="0" distR="0" wp14:anchorId="2628C758" wp14:editId="0574454D">
                            <wp:extent cx="6336665" cy="2526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6665" cy="25263"/>
                                    </a:xfrm>
                                    <a:prstGeom prst="rect">
                                      <a:avLst/>
                                    </a:prstGeom>
                                    <a:noFill/>
                                    <a:ln>
                                      <a:noFill/>
                                    </a:ln>
                                  </pic:spPr>
                                </pic:pic>
                              </a:graphicData>
                            </a:graphic>
                          </wp:inline>
                        </w:drawing>
                      </w:r>
                    </w:p>
                    <w:p w:rsidR="006909BC" w:rsidRDefault="006909BC" w:rsidP="0061764B">
                      <w:pPr>
                        <w:pStyle w:val="BasicParagraph"/>
                        <w:spacing w:before="180"/>
                        <w:rPr>
                          <w:rFonts w:ascii="Myriad Pro Light" w:hAnsi="Myriad Pro Light" w:cs="Myriad Pro Light"/>
                          <w:color w:val="58595B"/>
                          <w:sz w:val="32"/>
                          <w:szCs w:val="32"/>
                        </w:rPr>
                      </w:pPr>
                      <w:r>
                        <w:rPr>
                          <w:rFonts w:ascii="Myriad Pro Light" w:hAnsi="Myriad Pro Light" w:cs="Myriad Pro Light"/>
                          <w:color w:val="58595B"/>
                          <w:sz w:val="32"/>
                          <w:szCs w:val="32"/>
                        </w:rPr>
                        <w:t>March 2015</w:t>
                      </w:r>
                    </w:p>
                    <w:p w:rsidR="006909BC" w:rsidRDefault="006909BC" w:rsidP="0061764B">
                      <w:pPr>
                        <w:pStyle w:val="BasicParagraph"/>
                        <w:spacing w:before="180"/>
                        <w:rPr>
                          <w:color w:val="58595B"/>
                          <w:sz w:val="32"/>
                          <w:szCs w:val="32"/>
                        </w:rPr>
                      </w:pPr>
                      <w:r>
                        <w:rPr>
                          <w:rFonts w:ascii="Myriad Pro Light" w:hAnsi="Myriad Pro Light" w:cs="Myriad Pro Light"/>
                          <w:i/>
                          <w:iCs/>
                          <w:color w:val="58595B"/>
                          <w:sz w:val="28"/>
                          <w:szCs w:val="28"/>
                        </w:rPr>
                        <w:t>Prepared for</w:t>
                      </w:r>
                      <w:r>
                        <w:rPr>
                          <w:caps/>
                          <w:color w:val="58595B"/>
                          <w:sz w:val="28"/>
                          <w:szCs w:val="28"/>
                        </w:rPr>
                        <w:t xml:space="preserve"> </w:t>
                      </w:r>
                      <w:r>
                        <w:rPr>
                          <w:caps/>
                          <w:color w:val="58595B"/>
                          <w:sz w:val="28"/>
                          <w:szCs w:val="28"/>
                        </w:rPr>
                        <w:br/>
                      </w:r>
                      <w:r>
                        <w:rPr>
                          <w:color w:val="58595B"/>
                          <w:sz w:val="32"/>
                          <w:szCs w:val="32"/>
                        </w:rPr>
                        <w:t>San Diego Association of Governments</w:t>
                      </w:r>
                    </w:p>
                    <w:p w:rsidR="006909BC" w:rsidRDefault="006909BC" w:rsidP="000612C1">
                      <w:pPr>
                        <w:pStyle w:val="BasicParagraph"/>
                        <w:spacing w:line="240" w:lineRule="auto"/>
                        <w:rPr>
                          <w:rFonts w:ascii="Myriad Pro Light" w:hAnsi="Myriad Pro Light" w:cs="Myriad Pro Light"/>
                          <w:i/>
                          <w:iCs/>
                          <w:color w:val="58595B"/>
                          <w:sz w:val="28"/>
                          <w:szCs w:val="28"/>
                        </w:rPr>
                      </w:pPr>
                      <w:r>
                        <w:rPr>
                          <w:rFonts w:ascii="Myriad Pro Light" w:hAnsi="Myriad Pro Light" w:cs="Myriad Pro Light"/>
                          <w:i/>
                          <w:iCs/>
                          <w:color w:val="58595B"/>
                          <w:sz w:val="28"/>
                          <w:szCs w:val="28"/>
                        </w:rPr>
                        <w:t>In Support of</w:t>
                      </w:r>
                    </w:p>
                    <w:p w:rsidR="006909BC" w:rsidRPr="00797F6F" w:rsidRDefault="006909BC" w:rsidP="000612C1">
                      <w:pPr>
                        <w:pStyle w:val="BasicParagraph"/>
                        <w:spacing w:before="0"/>
                        <w:rPr>
                          <w:rFonts w:asciiTheme="majorHAnsi" w:hAnsiTheme="majorHAnsi" w:cs="Myriad Pro Light"/>
                          <w:iCs/>
                          <w:color w:val="58595B"/>
                          <w:sz w:val="32"/>
                          <w:szCs w:val="32"/>
                        </w:rPr>
                      </w:pPr>
                      <w:r w:rsidRPr="00797F6F">
                        <w:rPr>
                          <w:rFonts w:asciiTheme="majorHAnsi" w:hAnsiTheme="majorHAnsi" w:cs="Myriad Pro Light"/>
                          <w:iCs/>
                          <w:color w:val="58595B"/>
                          <w:sz w:val="32"/>
                          <w:szCs w:val="32"/>
                        </w:rPr>
                        <w:t>California Energy Commission Award ARV-13-013</w:t>
                      </w:r>
                    </w:p>
                    <w:p w:rsidR="006909BC" w:rsidRDefault="006909BC" w:rsidP="0061764B">
                      <w:pPr>
                        <w:pStyle w:val="BasicParagraph"/>
                        <w:rPr>
                          <w:color w:val="58595B"/>
                          <w:sz w:val="32"/>
                          <w:szCs w:val="32"/>
                        </w:rPr>
                      </w:pPr>
                      <w:r>
                        <w:rPr>
                          <w:rFonts w:ascii="Myriad Pro Light" w:hAnsi="Myriad Pro Light" w:cs="Myriad Pro Light"/>
                          <w:i/>
                          <w:iCs/>
                          <w:color w:val="58595B"/>
                          <w:sz w:val="28"/>
                          <w:szCs w:val="28"/>
                        </w:rPr>
                        <w:t>Prepared by</w:t>
                      </w:r>
                      <w:r>
                        <w:rPr>
                          <w:rFonts w:ascii="Myriad Pro Light" w:hAnsi="Myriad Pro Light" w:cs="Myriad Pro Light"/>
                          <w:i/>
                          <w:iCs/>
                          <w:color w:val="58595B"/>
                          <w:sz w:val="28"/>
                          <w:szCs w:val="28"/>
                        </w:rPr>
                        <w:br/>
                      </w:r>
                      <w:r>
                        <w:rPr>
                          <w:color w:val="58595B"/>
                          <w:sz w:val="32"/>
                          <w:szCs w:val="32"/>
                        </w:rPr>
                        <w:t xml:space="preserve">Center for Sustainable Energy </w:t>
                      </w:r>
                      <w:r w:rsidR="00E15301">
                        <w:rPr>
                          <w:color w:val="58595B"/>
                          <w:sz w:val="32"/>
                          <w:szCs w:val="32"/>
                        </w:rPr>
                        <w:t>on behalf</w:t>
                      </w:r>
                      <w:r>
                        <w:rPr>
                          <w:color w:val="58595B"/>
                          <w:sz w:val="32"/>
                          <w:szCs w:val="32"/>
                        </w:rPr>
                        <w:t xml:space="preserve"> of San Diego Regional Clean Cities Coalition</w:t>
                      </w:r>
                    </w:p>
                    <w:p w:rsidR="006909BC" w:rsidRPr="00027169" w:rsidRDefault="006909BC" w:rsidP="005405DA">
                      <w:pPr>
                        <w:rPr>
                          <w:rFonts w:ascii="Myriad Pro Light" w:hAnsi="Myriad Pro Light"/>
                          <w:color w:val="005997"/>
                          <w:sz w:val="42"/>
                          <w:szCs w:val="42"/>
                        </w:rPr>
                      </w:pPr>
                    </w:p>
                  </w:txbxContent>
                </v:textbox>
              </v:shape>
            </w:pict>
          </mc:Fallback>
        </mc:AlternateContent>
      </w:r>
      <w:r w:rsidR="00DF7953" w:rsidRPr="00DE185C">
        <w:rPr>
          <w:rFonts w:ascii="Calibri" w:hAnsi="Calibri"/>
          <w:noProof/>
          <w:lang w:eastAsia="zh-CN"/>
        </w:rPr>
        <w:drawing>
          <wp:anchor distT="0" distB="0" distL="114300" distR="114300" simplePos="0" relativeHeight="251693568" behindDoc="1" locked="0" layoutInCell="1" allowOverlap="1" wp14:anchorId="21F446B2" wp14:editId="3348D509">
            <wp:simplePos x="0" y="0"/>
            <wp:positionH relativeFrom="column">
              <wp:posOffset>3651885</wp:posOffset>
            </wp:positionH>
            <wp:positionV relativeFrom="paragraph">
              <wp:posOffset>7853045</wp:posOffset>
            </wp:positionV>
            <wp:extent cx="2501265" cy="6134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_logo_TM_CMYK.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1265" cy="613410"/>
                    </a:xfrm>
                    <a:prstGeom prst="rect">
                      <a:avLst/>
                    </a:prstGeom>
                  </pic:spPr>
                </pic:pic>
              </a:graphicData>
            </a:graphic>
            <wp14:sizeRelH relativeFrom="page">
              <wp14:pctWidth>0</wp14:pctWidth>
            </wp14:sizeRelH>
            <wp14:sizeRelV relativeFrom="page">
              <wp14:pctHeight>0</wp14:pctHeight>
            </wp14:sizeRelV>
          </wp:anchor>
        </w:drawing>
      </w:r>
      <w:r w:rsidR="00DF7953" w:rsidRPr="00DE185C">
        <w:rPr>
          <w:rFonts w:ascii="Calibri" w:hAnsi="Calibri"/>
          <w:noProof/>
          <w:lang w:eastAsia="zh-CN"/>
        </w:rPr>
        <w:drawing>
          <wp:anchor distT="0" distB="0" distL="114300" distR="114300" simplePos="0" relativeHeight="251650558" behindDoc="1" locked="0" layoutInCell="1" allowOverlap="1" wp14:anchorId="0C2180DB" wp14:editId="7C590914">
            <wp:simplePos x="0" y="0"/>
            <wp:positionH relativeFrom="column">
              <wp:posOffset>-914400</wp:posOffset>
            </wp:positionH>
            <wp:positionV relativeFrom="paragraph">
              <wp:posOffset>-906145</wp:posOffset>
            </wp:positionV>
            <wp:extent cx="7772400" cy="10058154"/>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_report_cov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2400" cy="10058154"/>
                    </a:xfrm>
                    <a:prstGeom prst="rect">
                      <a:avLst/>
                    </a:prstGeom>
                  </pic:spPr>
                </pic:pic>
              </a:graphicData>
            </a:graphic>
            <wp14:sizeRelH relativeFrom="page">
              <wp14:pctWidth>0</wp14:pctWidth>
            </wp14:sizeRelH>
            <wp14:sizeRelV relativeFrom="page">
              <wp14:pctHeight>0</wp14:pctHeight>
            </wp14:sizeRelV>
          </wp:anchor>
        </w:drawing>
      </w:r>
      <w:r w:rsidR="009426DA">
        <w:rPr>
          <w:rFonts w:ascii="Calibri" w:hAnsi="Calibri"/>
          <w:color w:val="FFFFFF" w:themeColor="background1"/>
          <w:sz w:val="42"/>
          <w:szCs w:val="42"/>
        </w:rPr>
        <w:t xml:space="preserve"> </w:t>
      </w:r>
      <w:r w:rsidR="004B0264" w:rsidRPr="00DE185C">
        <w:rPr>
          <w:rFonts w:ascii="Calibri" w:hAnsi="Calibri"/>
        </w:rPr>
        <w:br w:type="page"/>
      </w:r>
      <w:r w:rsidR="00D35E15" w:rsidRPr="00DE185C">
        <w:rPr>
          <w:rFonts w:ascii="Calibri" w:hAnsi="Calibri"/>
        </w:rPr>
        <w:lastRenderedPageBreak/>
        <w:tab/>
      </w: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p w:rsidR="00A05386" w:rsidRPr="00DE185C" w:rsidRDefault="007619D3" w:rsidP="00CB3203">
      <w:pPr>
        <w:pStyle w:val="NoSpacing"/>
        <w:rPr>
          <w:rFonts w:ascii="Calibri" w:hAnsi="Calibri"/>
          <w:sz w:val="20"/>
          <w:szCs w:val="20"/>
        </w:rPr>
      </w:pPr>
      <w:r w:rsidRPr="00DE185C">
        <w:rPr>
          <w:rFonts w:ascii="Calibri" w:hAnsi="Calibri"/>
          <w:sz w:val="20"/>
          <w:szCs w:val="20"/>
        </w:rPr>
        <w:t>T</w:t>
      </w:r>
      <w:r w:rsidR="0068516E" w:rsidRPr="00DE185C">
        <w:rPr>
          <w:rFonts w:ascii="Calibri" w:hAnsi="Calibri"/>
          <w:sz w:val="20"/>
          <w:szCs w:val="20"/>
        </w:rPr>
        <w:t xml:space="preserve">his document was prepared as a result of work sponsored by the California Energy Commission. It does not necessarily represent the views of the Energy Commission, its employees, or the State of California. The Commission, the State of California, its employees, contractors, and subcontractors make no warranty, express or implied, and assume no legal liability for the information in this document; nor does any party represent that the use of this information will not infringe upon privately owned rights. </w:t>
      </w:r>
    </w:p>
    <w:p w:rsidR="007E5D8F" w:rsidRPr="00DE185C" w:rsidRDefault="007E5D8F" w:rsidP="00CB3203">
      <w:pPr>
        <w:pStyle w:val="NoSpacing"/>
        <w:rPr>
          <w:rFonts w:ascii="Calibri" w:hAnsi="Calibri"/>
          <w:sz w:val="20"/>
          <w:szCs w:val="20"/>
        </w:rPr>
      </w:pPr>
    </w:p>
    <w:p w:rsidR="007E5D8F" w:rsidRPr="00DE185C" w:rsidRDefault="007E5D8F" w:rsidP="00CB3203">
      <w:pPr>
        <w:pStyle w:val="NoSpacing"/>
        <w:rPr>
          <w:rFonts w:ascii="Calibri" w:hAnsi="Calibri"/>
          <w:sz w:val="20"/>
          <w:szCs w:val="20"/>
        </w:rPr>
      </w:pPr>
    </w:p>
    <w:p w:rsidR="007E5D8F" w:rsidRPr="00DE185C" w:rsidRDefault="007E5D8F" w:rsidP="00CB3203">
      <w:pPr>
        <w:pStyle w:val="NoSpacing"/>
        <w:rPr>
          <w:rFonts w:ascii="Calibri" w:hAnsi="Calibri"/>
          <w:sz w:val="20"/>
          <w:szCs w:val="20"/>
        </w:rPr>
      </w:pPr>
    </w:p>
    <w:p w:rsidR="007E5D8F" w:rsidRPr="00DE185C" w:rsidRDefault="007E5D8F" w:rsidP="00CB3203">
      <w:pPr>
        <w:pStyle w:val="NoSpacing"/>
        <w:rPr>
          <w:rFonts w:ascii="Calibri" w:hAnsi="Calibri"/>
          <w:sz w:val="20"/>
          <w:szCs w:val="20"/>
        </w:rPr>
      </w:pPr>
    </w:p>
    <w:p w:rsidR="007E5D8F" w:rsidRPr="00DE185C" w:rsidRDefault="007E5D8F" w:rsidP="00CB3203">
      <w:pPr>
        <w:pStyle w:val="NoSpacing"/>
        <w:rPr>
          <w:rFonts w:ascii="Calibri" w:hAnsi="Calibri"/>
          <w:sz w:val="20"/>
          <w:szCs w:val="20"/>
        </w:rPr>
      </w:pPr>
    </w:p>
    <w:p w:rsidR="00A05386" w:rsidRPr="00DE185C" w:rsidRDefault="00A05386" w:rsidP="00CB3203">
      <w:pPr>
        <w:pStyle w:val="NoSpacing"/>
        <w:rPr>
          <w:rFonts w:ascii="Calibri" w:hAnsi="Calibri"/>
        </w:rPr>
      </w:pPr>
    </w:p>
    <w:p w:rsidR="00A05386" w:rsidRPr="00DE185C" w:rsidRDefault="00A05386" w:rsidP="00CB3203">
      <w:pPr>
        <w:pStyle w:val="NoSpacing"/>
        <w:rPr>
          <w:rFonts w:ascii="Calibri" w:hAnsi="Calibri"/>
        </w:rPr>
      </w:pPr>
    </w:p>
    <w:sdt>
      <w:sdtPr>
        <w:rPr>
          <w:rFonts w:ascii="Calibri" w:eastAsiaTheme="minorHAnsi" w:hAnsi="Calibri" w:cstheme="minorBidi"/>
          <w:bCs w:val="0"/>
          <w:sz w:val="22"/>
          <w:szCs w:val="22"/>
          <w:lang w:eastAsia="en-US"/>
        </w:rPr>
        <w:id w:val="-332374694"/>
        <w:docPartObj>
          <w:docPartGallery w:val="Table of Contents"/>
          <w:docPartUnique/>
        </w:docPartObj>
      </w:sdtPr>
      <w:sdtEndPr>
        <w:rPr>
          <w:rFonts w:eastAsiaTheme="minorEastAsia"/>
          <w:b/>
          <w:noProof/>
        </w:rPr>
      </w:sdtEndPr>
      <w:sdtContent>
        <w:p w:rsidR="00DE277E" w:rsidRPr="00DE185C" w:rsidRDefault="00DE277E">
          <w:pPr>
            <w:pStyle w:val="TOCHeading"/>
            <w:rPr>
              <w:rFonts w:ascii="Calibri" w:hAnsi="Calibri"/>
            </w:rPr>
          </w:pPr>
          <w:r w:rsidRPr="00DE185C">
            <w:rPr>
              <w:rFonts w:ascii="Calibri" w:hAnsi="Calibri"/>
            </w:rPr>
            <w:t>Contents</w:t>
          </w:r>
          <w:r w:rsidR="004A6A48" w:rsidRPr="00DE185C">
            <w:rPr>
              <w:rFonts w:ascii="Calibri" w:hAnsi="Calibri"/>
            </w:rPr>
            <w:t xml:space="preserve"> </w:t>
          </w:r>
        </w:p>
        <w:p w:rsidR="004963FC" w:rsidRPr="00B04BE0" w:rsidRDefault="00DE277E">
          <w:pPr>
            <w:pStyle w:val="TOC1"/>
            <w:tabs>
              <w:tab w:val="right" w:leader="dot" w:pos="9350"/>
            </w:tabs>
            <w:rPr>
              <w:rFonts w:ascii="Calibri" w:hAnsi="Calibri"/>
              <w:noProof/>
              <w:lang w:eastAsia="zh-CN"/>
            </w:rPr>
          </w:pPr>
          <w:r w:rsidRPr="004A248C">
            <w:rPr>
              <w:rFonts w:ascii="Calibri" w:hAnsi="Calibri"/>
            </w:rPr>
            <w:fldChar w:fldCharType="begin"/>
          </w:r>
          <w:r w:rsidRPr="004A248C">
            <w:rPr>
              <w:rFonts w:ascii="Calibri" w:hAnsi="Calibri"/>
            </w:rPr>
            <w:instrText xml:space="preserve"> TOC \o "1-3" \h \z \u </w:instrText>
          </w:r>
          <w:r w:rsidRPr="004A248C">
            <w:rPr>
              <w:rFonts w:ascii="Calibri" w:hAnsi="Calibri"/>
            </w:rPr>
            <w:fldChar w:fldCharType="separate"/>
          </w:r>
          <w:hyperlink w:anchor="_Toc416259229" w:history="1">
            <w:r w:rsidR="004963FC" w:rsidRPr="00B04BE0">
              <w:rPr>
                <w:rStyle w:val="Hyperlink"/>
                <w:rFonts w:ascii="Calibri" w:hAnsi="Calibri"/>
                <w:noProof/>
              </w:rPr>
              <w:t>1. Executive Summary</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_Toc416259229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6</w:t>
            </w:r>
            <w:r w:rsidR="004963FC" w:rsidRPr="00B04BE0">
              <w:rPr>
                <w:rFonts w:ascii="Calibri" w:hAnsi="Calibri"/>
                <w:noProof/>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30" w:history="1">
            <w:r w:rsidR="004963FC" w:rsidRPr="00B04BE0">
              <w:rPr>
                <w:rStyle w:val="Hyperlink"/>
                <w:rFonts w:ascii="Calibri" w:hAnsi="Calibri"/>
                <w:noProof/>
              </w:rPr>
              <w:t>2. Purpose</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_Toc416259230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7</w:t>
            </w:r>
            <w:r w:rsidR="004963FC" w:rsidRPr="00B04BE0">
              <w:rPr>
                <w:rFonts w:ascii="Calibri" w:hAnsi="Calibri"/>
                <w:noProof/>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31" w:history="1">
            <w:r w:rsidR="004963FC" w:rsidRPr="00B04BE0">
              <w:rPr>
                <w:rStyle w:val="Hyperlink"/>
                <w:rFonts w:ascii="Calibri" w:hAnsi="Calibri"/>
                <w:noProof/>
              </w:rPr>
              <w:t>3. Previous Regional Alternative Fuel Planning Efforts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_Toc416259231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8</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32" w:history="1">
            <w:r w:rsidR="004963FC" w:rsidRPr="00B04BE0">
              <w:rPr>
                <w:rStyle w:val="Hyperlink"/>
              </w:rPr>
              <w:t>Familiarity with Alternative Fuels</w:t>
            </w:r>
            <w:r w:rsidR="004963FC" w:rsidRPr="00B04BE0">
              <w:rPr>
                <w:webHidden/>
              </w:rPr>
              <w:tab/>
            </w:r>
            <w:r w:rsidR="004963FC" w:rsidRPr="00B04BE0">
              <w:rPr>
                <w:webHidden/>
              </w:rPr>
              <w:fldChar w:fldCharType="begin"/>
            </w:r>
            <w:r w:rsidR="004963FC" w:rsidRPr="00B04BE0">
              <w:rPr>
                <w:webHidden/>
              </w:rPr>
              <w:instrText xml:space="preserve"> PAGEREF _Toc416259232 \h </w:instrText>
            </w:r>
            <w:r w:rsidR="004963FC" w:rsidRPr="00B04BE0">
              <w:rPr>
                <w:webHidden/>
              </w:rPr>
            </w:r>
            <w:r w:rsidR="004963FC" w:rsidRPr="00B04BE0">
              <w:rPr>
                <w:webHidden/>
              </w:rPr>
              <w:fldChar w:fldCharType="separate"/>
            </w:r>
            <w:r w:rsidR="00B04BE0">
              <w:rPr>
                <w:webHidden/>
              </w:rPr>
              <w:t>9</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33" w:history="1">
            <w:r w:rsidR="004963FC" w:rsidRPr="00B04BE0">
              <w:rPr>
                <w:rStyle w:val="Hyperlink"/>
                <w:rFonts w:ascii="Calibri" w:hAnsi="Calibri"/>
                <w:noProof/>
              </w:rPr>
              <w:t>4. State and Municipal Strategies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_Toc416259233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11</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34" w:history="1">
            <w:r w:rsidR="004963FC" w:rsidRPr="00B04BE0">
              <w:rPr>
                <w:rStyle w:val="Hyperlink"/>
              </w:rPr>
              <w:t>State Strategies</w:t>
            </w:r>
            <w:r w:rsidR="004963FC" w:rsidRPr="00B04BE0">
              <w:rPr>
                <w:webHidden/>
              </w:rPr>
              <w:tab/>
            </w:r>
            <w:r w:rsidR="004963FC" w:rsidRPr="00B04BE0">
              <w:rPr>
                <w:webHidden/>
              </w:rPr>
              <w:fldChar w:fldCharType="begin"/>
            </w:r>
            <w:r w:rsidR="004963FC" w:rsidRPr="00B04BE0">
              <w:rPr>
                <w:webHidden/>
              </w:rPr>
              <w:instrText xml:space="preserve"> PAGEREF _Toc416259234 \h </w:instrText>
            </w:r>
            <w:r w:rsidR="004963FC" w:rsidRPr="00B04BE0">
              <w:rPr>
                <w:webHidden/>
              </w:rPr>
            </w:r>
            <w:r w:rsidR="004963FC" w:rsidRPr="00B04BE0">
              <w:rPr>
                <w:webHidden/>
              </w:rPr>
              <w:fldChar w:fldCharType="separate"/>
            </w:r>
            <w:r w:rsidR="00B04BE0">
              <w:rPr>
                <w:webHidden/>
              </w:rPr>
              <w:t>11</w:t>
            </w:r>
            <w:r w:rsidR="004963FC" w:rsidRPr="00B04BE0">
              <w:rPr>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35" w:history="1">
            <w:r w:rsidR="004963FC" w:rsidRPr="00B04BE0">
              <w:rPr>
                <w:rStyle w:val="Hyperlink"/>
                <w:rFonts w:ascii="Calibri" w:hAnsi="Calibri"/>
                <w:noProof/>
              </w:rPr>
              <w:t>Status of the State Alternative Fuels Plan</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_Toc416259235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13</w:t>
            </w:r>
            <w:r w:rsidR="004963FC" w:rsidRPr="00B04BE0">
              <w:rPr>
                <w:rFonts w:ascii="Calibri" w:hAnsi="Calibri"/>
                <w:noProof/>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36" w:history="1">
            <w:r w:rsidR="004963FC" w:rsidRPr="00B04BE0">
              <w:rPr>
                <w:rStyle w:val="Hyperlink"/>
                <w:rFonts w:ascii="Calibri" w:hAnsi="Calibri"/>
                <w:noProof/>
              </w:rPr>
              <w:t>Status of Bioenergy Action Plan</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_Toc416259236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15</w:t>
            </w:r>
            <w:r w:rsidR="004963FC" w:rsidRPr="00B04BE0">
              <w:rPr>
                <w:rFonts w:ascii="Calibri" w:hAnsi="Calibri"/>
                <w:noProof/>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37" w:history="1">
            <w:r w:rsidR="004963FC" w:rsidRPr="00B04BE0">
              <w:rPr>
                <w:rStyle w:val="Hyperlink"/>
                <w:rFonts w:ascii="Calibri" w:hAnsi="Calibri"/>
                <w:noProof/>
              </w:rPr>
              <w:t>Status of Executive Order B-16-2012</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_Toc416259237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15</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38" w:history="1">
            <w:r w:rsidR="004963FC" w:rsidRPr="00B04BE0">
              <w:rPr>
                <w:rStyle w:val="Hyperlink"/>
              </w:rPr>
              <w:t>Local Climate and Sustainability Planning</w:t>
            </w:r>
            <w:r w:rsidR="004963FC" w:rsidRPr="00B04BE0">
              <w:rPr>
                <w:webHidden/>
              </w:rPr>
              <w:tab/>
            </w:r>
            <w:r w:rsidR="004963FC" w:rsidRPr="00B04BE0">
              <w:rPr>
                <w:webHidden/>
              </w:rPr>
              <w:fldChar w:fldCharType="begin"/>
            </w:r>
            <w:r w:rsidR="004963FC" w:rsidRPr="00B04BE0">
              <w:rPr>
                <w:webHidden/>
              </w:rPr>
              <w:instrText xml:space="preserve"> PAGEREF _Toc416259238 \h </w:instrText>
            </w:r>
            <w:r w:rsidR="004963FC" w:rsidRPr="00B04BE0">
              <w:rPr>
                <w:webHidden/>
              </w:rPr>
            </w:r>
            <w:r w:rsidR="004963FC" w:rsidRPr="00B04BE0">
              <w:rPr>
                <w:webHidden/>
              </w:rPr>
              <w:fldChar w:fldCharType="separate"/>
            </w:r>
            <w:r w:rsidR="00B04BE0">
              <w:rPr>
                <w:webHidden/>
              </w:rPr>
              <w:t>16</w:t>
            </w:r>
            <w:r w:rsidR="004963FC" w:rsidRPr="00B04BE0">
              <w:rPr>
                <w:webHidden/>
              </w:rPr>
              <w:fldChar w:fldCharType="end"/>
            </w:r>
          </w:hyperlink>
        </w:p>
        <w:p w:rsidR="004963FC" w:rsidRPr="00B04BE0" w:rsidRDefault="00F949FB">
          <w:pPr>
            <w:pStyle w:val="TOC2"/>
            <w:rPr>
              <w:lang w:eastAsia="zh-CN"/>
            </w:rPr>
          </w:pPr>
          <w:hyperlink w:anchor="_Toc416259239" w:history="1">
            <w:r w:rsidR="004963FC" w:rsidRPr="00B04BE0">
              <w:rPr>
                <w:rStyle w:val="Hyperlink"/>
              </w:rPr>
              <w:t>San Diego Region Greenhouse Gas Reductions</w:t>
            </w:r>
            <w:r w:rsidR="004963FC" w:rsidRPr="00B04BE0">
              <w:rPr>
                <w:webHidden/>
              </w:rPr>
              <w:tab/>
            </w:r>
            <w:r w:rsidR="004963FC" w:rsidRPr="00B04BE0">
              <w:rPr>
                <w:webHidden/>
              </w:rPr>
              <w:fldChar w:fldCharType="begin"/>
            </w:r>
            <w:r w:rsidR="004963FC" w:rsidRPr="00B04BE0">
              <w:rPr>
                <w:webHidden/>
              </w:rPr>
              <w:instrText xml:space="preserve"> PAGEREF _Toc416259239 \h </w:instrText>
            </w:r>
            <w:r w:rsidR="004963FC" w:rsidRPr="00B04BE0">
              <w:rPr>
                <w:webHidden/>
              </w:rPr>
            </w:r>
            <w:r w:rsidR="004963FC" w:rsidRPr="00B04BE0">
              <w:rPr>
                <w:webHidden/>
              </w:rPr>
              <w:fldChar w:fldCharType="separate"/>
            </w:r>
            <w:r w:rsidR="00B04BE0">
              <w:rPr>
                <w:webHidden/>
              </w:rPr>
              <w:t>19</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40" w:history="1">
            <w:r w:rsidR="004963FC" w:rsidRPr="00B04BE0">
              <w:rPr>
                <w:rStyle w:val="Hyperlink"/>
                <w:rFonts w:ascii="Calibri" w:hAnsi="Calibri"/>
                <w:noProof/>
              </w:rPr>
              <w:t>5. Codes and Standards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_Toc416259240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20</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41" w:history="1">
            <w:r w:rsidR="004963FC" w:rsidRPr="00B04BE0">
              <w:rPr>
                <w:rStyle w:val="Hyperlink"/>
              </w:rPr>
              <w:t>Alternative Fuel Station Installation Codes and Standards</w:t>
            </w:r>
            <w:r w:rsidR="004963FC" w:rsidRPr="00B04BE0">
              <w:rPr>
                <w:webHidden/>
              </w:rPr>
              <w:tab/>
            </w:r>
            <w:r w:rsidR="004963FC" w:rsidRPr="00B04BE0">
              <w:rPr>
                <w:webHidden/>
              </w:rPr>
              <w:fldChar w:fldCharType="begin"/>
            </w:r>
            <w:r w:rsidR="004963FC" w:rsidRPr="00B04BE0">
              <w:rPr>
                <w:webHidden/>
              </w:rPr>
              <w:instrText xml:space="preserve"> PAGEREF _Toc416259241 \h </w:instrText>
            </w:r>
            <w:r w:rsidR="004963FC" w:rsidRPr="00B04BE0">
              <w:rPr>
                <w:webHidden/>
              </w:rPr>
            </w:r>
            <w:r w:rsidR="004963FC" w:rsidRPr="00B04BE0">
              <w:rPr>
                <w:webHidden/>
              </w:rPr>
              <w:fldChar w:fldCharType="separate"/>
            </w:r>
            <w:r w:rsidR="00B04BE0">
              <w:rPr>
                <w:webHidden/>
              </w:rPr>
              <w:t>21</w:t>
            </w:r>
            <w:r w:rsidR="004963FC" w:rsidRPr="00B04BE0">
              <w:rPr>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42" w:history="1">
            <w:r w:rsidR="004963FC" w:rsidRPr="00B04BE0">
              <w:rPr>
                <w:rStyle w:val="Hyperlink"/>
                <w:rFonts w:ascii="Calibri" w:hAnsi="Calibri"/>
                <w:noProof/>
              </w:rPr>
              <w:t>Biodiesel and Ethanol</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_Toc416259242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21</w:t>
            </w:r>
            <w:r w:rsidR="004963FC" w:rsidRPr="00B04BE0">
              <w:rPr>
                <w:rFonts w:ascii="Calibri" w:hAnsi="Calibri"/>
                <w:noProof/>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43" w:history="1">
            <w:r w:rsidR="004963FC" w:rsidRPr="00B04BE0">
              <w:rPr>
                <w:rStyle w:val="Hyperlink"/>
                <w:rFonts w:ascii="Calibri" w:hAnsi="Calibri"/>
                <w:noProof/>
              </w:rPr>
              <w:t>Electric Vehicle Charging Stations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_Toc416259243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21</w:t>
            </w:r>
            <w:r w:rsidR="004963FC" w:rsidRPr="00B04BE0">
              <w:rPr>
                <w:rFonts w:ascii="Calibri" w:hAnsi="Calibri"/>
                <w:noProof/>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44" w:history="1">
            <w:r w:rsidR="004963FC" w:rsidRPr="00B04BE0">
              <w:rPr>
                <w:rStyle w:val="Hyperlink"/>
                <w:rFonts w:ascii="Calibri" w:hAnsi="Calibri"/>
                <w:noProof/>
              </w:rPr>
              <w:t>Hydrogen</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_Toc416259244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21</w:t>
            </w:r>
            <w:r w:rsidR="004963FC" w:rsidRPr="00B04BE0">
              <w:rPr>
                <w:rFonts w:ascii="Calibri" w:hAnsi="Calibri"/>
                <w:noProof/>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45" w:history="1">
            <w:r w:rsidR="004963FC" w:rsidRPr="00B04BE0">
              <w:rPr>
                <w:rStyle w:val="Hyperlink"/>
                <w:rFonts w:ascii="Calibri" w:hAnsi="Calibri"/>
                <w:noProof/>
              </w:rPr>
              <w:t>Natural Gas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_Toc416259245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22</w:t>
            </w:r>
            <w:r w:rsidR="004963FC" w:rsidRPr="00B04BE0">
              <w:rPr>
                <w:rFonts w:ascii="Calibri" w:hAnsi="Calibri"/>
                <w:noProof/>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46" w:history="1">
            <w:r w:rsidR="004963FC" w:rsidRPr="00B04BE0">
              <w:rPr>
                <w:rStyle w:val="Hyperlink"/>
                <w:rFonts w:ascii="Calibri" w:hAnsi="Calibri"/>
                <w:noProof/>
              </w:rPr>
              <w:t>Propane</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_Toc416259246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22</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47" w:history="1">
            <w:r w:rsidR="004963FC" w:rsidRPr="00B04BE0">
              <w:rPr>
                <w:rStyle w:val="Hyperlink"/>
              </w:rPr>
              <w:t>California Green Building Code</w:t>
            </w:r>
            <w:r w:rsidR="004963FC" w:rsidRPr="00B04BE0">
              <w:rPr>
                <w:webHidden/>
              </w:rPr>
              <w:tab/>
            </w:r>
            <w:r w:rsidR="004963FC" w:rsidRPr="00B04BE0">
              <w:rPr>
                <w:webHidden/>
              </w:rPr>
              <w:fldChar w:fldCharType="begin"/>
            </w:r>
            <w:r w:rsidR="004963FC" w:rsidRPr="00B04BE0">
              <w:rPr>
                <w:webHidden/>
              </w:rPr>
              <w:instrText xml:space="preserve"> PAGEREF _Toc416259247 \h </w:instrText>
            </w:r>
            <w:r w:rsidR="004963FC" w:rsidRPr="00B04BE0">
              <w:rPr>
                <w:webHidden/>
              </w:rPr>
            </w:r>
            <w:r w:rsidR="004963FC" w:rsidRPr="00B04BE0">
              <w:rPr>
                <w:webHidden/>
              </w:rPr>
              <w:fldChar w:fldCharType="separate"/>
            </w:r>
            <w:r w:rsidR="00B04BE0">
              <w:rPr>
                <w:webHidden/>
              </w:rPr>
              <w:t>23</w:t>
            </w:r>
            <w:r w:rsidR="004963FC" w:rsidRPr="00B04BE0">
              <w:rPr>
                <w:webHidden/>
              </w:rPr>
              <w:fldChar w:fldCharType="end"/>
            </w:r>
          </w:hyperlink>
        </w:p>
        <w:p w:rsidR="004963FC" w:rsidRPr="00B04BE0" w:rsidRDefault="00F949FB">
          <w:pPr>
            <w:pStyle w:val="TOC2"/>
            <w:rPr>
              <w:lang w:eastAsia="zh-CN"/>
            </w:rPr>
          </w:pPr>
          <w:hyperlink w:anchor="_Toc416259248" w:history="1">
            <w:r w:rsidR="004963FC" w:rsidRPr="00B04BE0">
              <w:rPr>
                <w:rStyle w:val="Hyperlink"/>
              </w:rPr>
              <w:t>Zoning and Parking</w:t>
            </w:r>
            <w:r w:rsidR="004963FC" w:rsidRPr="00B04BE0">
              <w:rPr>
                <w:webHidden/>
              </w:rPr>
              <w:tab/>
            </w:r>
            <w:r w:rsidR="004963FC" w:rsidRPr="00B04BE0">
              <w:rPr>
                <w:webHidden/>
              </w:rPr>
              <w:fldChar w:fldCharType="begin"/>
            </w:r>
            <w:r w:rsidR="004963FC" w:rsidRPr="00B04BE0">
              <w:rPr>
                <w:webHidden/>
              </w:rPr>
              <w:instrText xml:space="preserve"> PAGEREF _Toc416259248 \h </w:instrText>
            </w:r>
            <w:r w:rsidR="004963FC" w:rsidRPr="00B04BE0">
              <w:rPr>
                <w:webHidden/>
              </w:rPr>
            </w:r>
            <w:r w:rsidR="004963FC" w:rsidRPr="00B04BE0">
              <w:rPr>
                <w:webHidden/>
              </w:rPr>
              <w:fldChar w:fldCharType="separate"/>
            </w:r>
            <w:r w:rsidR="00B04BE0">
              <w:rPr>
                <w:webHidden/>
              </w:rPr>
              <w:t>24</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49" w:history="1">
            <w:r w:rsidR="004963FC" w:rsidRPr="00B04BE0">
              <w:rPr>
                <w:rStyle w:val="Hyperlink"/>
                <w:rFonts w:ascii="Calibri" w:hAnsi="Calibri"/>
                <w:noProof/>
              </w:rPr>
              <w:t>6. Infrastructure</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_Toc416259249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26</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50" w:history="1">
            <w:r w:rsidR="004963FC" w:rsidRPr="00B04BE0">
              <w:rPr>
                <w:rStyle w:val="Hyperlink"/>
              </w:rPr>
              <w:t>Infrastructure Coverage</w:t>
            </w:r>
            <w:r w:rsidR="004963FC" w:rsidRPr="00B04BE0">
              <w:rPr>
                <w:webHidden/>
              </w:rPr>
              <w:tab/>
            </w:r>
            <w:r w:rsidR="004963FC" w:rsidRPr="00B04BE0">
              <w:rPr>
                <w:webHidden/>
              </w:rPr>
              <w:fldChar w:fldCharType="begin"/>
            </w:r>
            <w:r w:rsidR="004963FC" w:rsidRPr="00B04BE0">
              <w:rPr>
                <w:webHidden/>
              </w:rPr>
              <w:instrText xml:space="preserve"> PAGEREF _Toc416259250 \h </w:instrText>
            </w:r>
            <w:r w:rsidR="004963FC" w:rsidRPr="00B04BE0">
              <w:rPr>
                <w:webHidden/>
              </w:rPr>
            </w:r>
            <w:r w:rsidR="004963FC" w:rsidRPr="00B04BE0">
              <w:rPr>
                <w:webHidden/>
              </w:rPr>
              <w:fldChar w:fldCharType="separate"/>
            </w:r>
            <w:r w:rsidR="00B04BE0">
              <w:rPr>
                <w:webHidden/>
              </w:rPr>
              <w:t>28</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51" w:history="1">
            <w:r w:rsidR="004963FC" w:rsidRPr="00B04BE0">
              <w:rPr>
                <w:rStyle w:val="Hyperlink"/>
                <w:rFonts w:ascii="Calibri" w:hAnsi="Calibri"/>
                <w:noProof/>
              </w:rPr>
              <w:t>7. Vehicles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_Toc416259251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30</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52" w:history="1">
            <w:r w:rsidR="004963FC" w:rsidRPr="00B04BE0">
              <w:rPr>
                <w:rStyle w:val="Hyperlink"/>
              </w:rPr>
              <w:t>Alternative Fuel Vehicles in Local Fleets</w:t>
            </w:r>
            <w:r w:rsidR="004963FC" w:rsidRPr="00B04BE0">
              <w:rPr>
                <w:webHidden/>
              </w:rPr>
              <w:tab/>
            </w:r>
            <w:r w:rsidR="004963FC" w:rsidRPr="00B04BE0">
              <w:rPr>
                <w:webHidden/>
              </w:rPr>
              <w:fldChar w:fldCharType="begin"/>
            </w:r>
            <w:r w:rsidR="004963FC" w:rsidRPr="00B04BE0">
              <w:rPr>
                <w:webHidden/>
              </w:rPr>
              <w:instrText xml:space="preserve"> PAGEREF _Toc416259252 \h </w:instrText>
            </w:r>
            <w:r w:rsidR="004963FC" w:rsidRPr="00B04BE0">
              <w:rPr>
                <w:webHidden/>
              </w:rPr>
            </w:r>
            <w:r w:rsidR="004963FC" w:rsidRPr="00B04BE0">
              <w:rPr>
                <w:webHidden/>
              </w:rPr>
              <w:fldChar w:fldCharType="separate"/>
            </w:r>
            <w:r w:rsidR="00B04BE0">
              <w:rPr>
                <w:webHidden/>
              </w:rPr>
              <w:t>35</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53" w:history="1">
            <w:r w:rsidR="004963FC" w:rsidRPr="00B04BE0">
              <w:rPr>
                <w:rStyle w:val="Hyperlink"/>
                <w:rFonts w:ascii="Calibri" w:hAnsi="Calibri"/>
                <w:noProof/>
              </w:rPr>
              <w:t>8. Incentives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_Toc416259253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38</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54" w:history="1">
            <w:r w:rsidR="004963FC" w:rsidRPr="00B04BE0">
              <w:rPr>
                <w:rStyle w:val="Hyperlink"/>
              </w:rPr>
              <w:t>Heavy-Duty Vehicles</w:t>
            </w:r>
            <w:r w:rsidR="004963FC" w:rsidRPr="00B04BE0">
              <w:rPr>
                <w:webHidden/>
              </w:rPr>
              <w:tab/>
            </w:r>
            <w:r w:rsidR="004963FC" w:rsidRPr="00B04BE0">
              <w:rPr>
                <w:webHidden/>
              </w:rPr>
              <w:fldChar w:fldCharType="begin"/>
            </w:r>
            <w:r w:rsidR="004963FC" w:rsidRPr="00B04BE0">
              <w:rPr>
                <w:webHidden/>
              </w:rPr>
              <w:instrText xml:space="preserve"> PAGEREF _Toc416259254 \h </w:instrText>
            </w:r>
            <w:r w:rsidR="004963FC" w:rsidRPr="00B04BE0">
              <w:rPr>
                <w:webHidden/>
              </w:rPr>
            </w:r>
            <w:r w:rsidR="004963FC" w:rsidRPr="00B04BE0">
              <w:rPr>
                <w:webHidden/>
              </w:rPr>
              <w:fldChar w:fldCharType="separate"/>
            </w:r>
            <w:r w:rsidR="00B04BE0">
              <w:rPr>
                <w:webHidden/>
              </w:rPr>
              <w:t>38</w:t>
            </w:r>
            <w:r w:rsidR="004963FC" w:rsidRPr="00B04BE0">
              <w:rPr>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55" w:history="1">
            <w:r w:rsidR="004963FC" w:rsidRPr="00B04BE0">
              <w:rPr>
                <w:rStyle w:val="Hyperlink"/>
                <w:rFonts w:ascii="Calibri" w:hAnsi="Calibri"/>
                <w:noProof/>
              </w:rPr>
              <w:t>Hybrid and Zero-Emission Truck and Bus Voucher Incentive Project</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_Toc416259255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39</w:t>
            </w:r>
            <w:r w:rsidR="004963FC" w:rsidRPr="00B04BE0">
              <w:rPr>
                <w:rFonts w:ascii="Calibri" w:hAnsi="Calibri"/>
                <w:noProof/>
                <w:webHidden/>
              </w:rPr>
              <w:fldChar w:fldCharType="end"/>
            </w:r>
          </w:hyperlink>
        </w:p>
        <w:p w:rsidR="004963FC" w:rsidRPr="00B04BE0" w:rsidRDefault="00F949FB">
          <w:pPr>
            <w:pStyle w:val="TOC3"/>
            <w:tabs>
              <w:tab w:val="right" w:leader="dot" w:pos="9350"/>
            </w:tabs>
            <w:rPr>
              <w:rFonts w:ascii="Calibri" w:hAnsi="Calibri"/>
              <w:noProof/>
              <w:lang w:eastAsia="zh-CN"/>
            </w:rPr>
          </w:pPr>
          <w:hyperlink w:anchor="_Toc416259256" w:history="1">
            <w:r w:rsidR="004963FC" w:rsidRPr="00B04BE0">
              <w:rPr>
                <w:rStyle w:val="Hyperlink"/>
                <w:rFonts w:ascii="Calibri" w:hAnsi="Calibri"/>
                <w:noProof/>
              </w:rPr>
              <w:t>San Diego County Air Pollution Control District</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_Toc416259256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39</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57" w:history="1">
            <w:r w:rsidR="004963FC" w:rsidRPr="00B04BE0">
              <w:rPr>
                <w:rStyle w:val="Hyperlink"/>
              </w:rPr>
              <w:t>Light-Duty Vehicles</w:t>
            </w:r>
            <w:r w:rsidR="004963FC" w:rsidRPr="00B04BE0">
              <w:rPr>
                <w:webHidden/>
              </w:rPr>
              <w:tab/>
            </w:r>
            <w:r w:rsidR="004963FC" w:rsidRPr="00B04BE0">
              <w:rPr>
                <w:webHidden/>
              </w:rPr>
              <w:fldChar w:fldCharType="begin"/>
            </w:r>
            <w:r w:rsidR="004963FC" w:rsidRPr="00B04BE0">
              <w:rPr>
                <w:webHidden/>
              </w:rPr>
              <w:instrText xml:space="preserve"> PAGEREF _Toc416259257 \h </w:instrText>
            </w:r>
            <w:r w:rsidR="004963FC" w:rsidRPr="00B04BE0">
              <w:rPr>
                <w:webHidden/>
              </w:rPr>
            </w:r>
            <w:r w:rsidR="004963FC" w:rsidRPr="00B04BE0">
              <w:rPr>
                <w:webHidden/>
              </w:rPr>
              <w:fldChar w:fldCharType="separate"/>
            </w:r>
            <w:r w:rsidR="00B04BE0">
              <w:rPr>
                <w:webHidden/>
              </w:rPr>
              <w:t>40</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58" w:history="1">
            <w:r w:rsidR="004963FC" w:rsidRPr="00B04BE0">
              <w:rPr>
                <w:rStyle w:val="Hyperlink"/>
                <w:rFonts w:ascii="Calibri" w:hAnsi="Calibri"/>
                <w:noProof/>
              </w:rPr>
              <w:t>9. Alternative Fuel Investments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_Toc416259258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42</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59" w:history="1">
            <w:r w:rsidR="004963FC" w:rsidRPr="00B04BE0">
              <w:rPr>
                <w:rStyle w:val="Hyperlink"/>
              </w:rPr>
              <w:t>California Energy Commission Funding</w:t>
            </w:r>
            <w:r w:rsidR="004963FC" w:rsidRPr="00B04BE0">
              <w:rPr>
                <w:webHidden/>
              </w:rPr>
              <w:tab/>
            </w:r>
            <w:r w:rsidR="004963FC" w:rsidRPr="00B04BE0">
              <w:rPr>
                <w:webHidden/>
              </w:rPr>
              <w:fldChar w:fldCharType="begin"/>
            </w:r>
            <w:r w:rsidR="004963FC" w:rsidRPr="00B04BE0">
              <w:rPr>
                <w:webHidden/>
              </w:rPr>
              <w:instrText xml:space="preserve"> PAGEREF _Toc416259259 \h </w:instrText>
            </w:r>
            <w:r w:rsidR="004963FC" w:rsidRPr="00B04BE0">
              <w:rPr>
                <w:webHidden/>
              </w:rPr>
            </w:r>
            <w:r w:rsidR="004963FC" w:rsidRPr="00B04BE0">
              <w:rPr>
                <w:webHidden/>
              </w:rPr>
              <w:fldChar w:fldCharType="separate"/>
            </w:r>
            <w:r w:rsidR="00B04BE0">
              <w:rPr>
                <w:webHidden/>
              </w:rPr>
              <w:t>42</w:t>
            </w:r>
            <w:r w:rsidR="004963FC" w:rsidRPr="00B04BE0">
              <w:rPr>
                <w:webHidden/>
              </w:rPr>
              <w:fldChar w:fldCharType="end"/>
            </w:r>
          </w:hyperlink>
        </w:p>
        <w:p w:rsidR="004963FC" w:rsidRPr="00B04BE0" w:rsidRDefault="00F949FB">
          <w:pPr>
            <w:pStyle w:val="TOC2"/>
            <w:rPr>
              <w:lang w:eastAsia="zh-CN"/>
            </w:rPr>
          </w:pPr>
          <w:hyperlink w:anchor="_Toc416259260" w:history="1">
            <w:r w:rsidR="004963FC" w:rsidRPr="00B04BE0">
              <w:rPr>
                <w:rStyle w:val="Hyperlink"/>
              </w:rPr>
              <w:t>U.S. Department of Energy Funding</w:t>
            </w:r>
            <w:r w:rsidR="004963FC" w:rsidRPr="00B04BE0">
              <w:rPr>
                <w:webHidden/>
              </w:rPr>
              <w:tab/>
            </w:r>
            <w:r w:rsidR="004963FC" w:rsidRPr="00B04BE0">
              <w:rPr>
                <w:webHidden/>
              </w:rPr>
              <w:fldChar w:fldCharType="begin"/>
            </w:r>
            <w:r w:rsidR="004963FC" w:rsidRPr="00B04BE0">
              <w:rPr>
                <w:webHidden/>
              </w:rPr>
              <w:instrText xml:space="preserve"> PAGEREF _Toc416259260 \h </w:instrText>
            </w:r>
            <w:r w:rsidR="004963FC" w:rsidRPr="00B04BE0">
              <w:rPr>
                <w:webHidden/>
              </w:rPr>
            </w:r>
            <w:r w:rsidR="004963FC" w:rsidRPr="00B04BE0">
              <w:rPr>
                <w:webHidden/>
              </w:rPr>
              <w:fldChar w:fldCharType="separate"/>
            </w:r>
            <w:r w:rsidR="00B04BE0">
              <w:rPr>
                <w:webHidden/>
              </w:rPr>
              <w:t>44</w:t>
            </w:r>
            <w:r w:rsidR="004963FC" w:rsidRPr="00B04BE0">
              <w:rPr>
                <w:webHidden/>
              </w:rPr>
              <w:fldChar w:fldCharType="end"/>
            </w:r>
          </w:hyperlink>
        </w:p>
        <w:p w:rsidR="004963FC" w:rsidRPr="00B04BE0" w:rsidRDefault="00F949FB">
          <w:pPr>
            <w:pStyle w:val="TOC2"/>
            <w:rPr>
              <w:lang w:eastAsia="zh-CN"/>
            </w:rPr>
          </w:pPr>
          <w:hyperlink w:anchor="_Toc416259261" w:history="1">
            <w:r w:rsidR="004963FC" w:rsidRPr="00B04BE0">
              <w:rPr>
                <w:rStyle w:val="Hyperlink"/>
              </w:rPr>
              <w:t>Private Funding</w:t>
            </w:r>
            <w:r w:rsidR="004963FC" w:rsidRPr="00B04BE0">
              <w:rPr>
                <w:webHidden/>
              </w:rPr>
              <w:tab/>
            </w:r>
            <w:r w:rsidR="004963FC" w:rsidRPr="00B04BE0">
              <w:rPr>
                <w:webHidden/>
              </w:rPr>
              <w:fldChar w:fldCharType="begin"/>
            </w:r>
            <w:r w:rsidR="004963FC" w:rsidRPr="00B04BE0">
              <w:rPr>
                <w:webHidden/>
              </w:rPr>
              <w:instrText xml:space="preserve"> PAGEREF _Toc416259261 \h </w:instrText>
            </w:r>
            <w:r w:rsidR="004963FC" w:rsidRPr="00B04BE0">
              <w:rPr>
                <w:webHidden/>
              </w:rPr>
            </w:r>
            <w:r w:rsidR="004963FC" w:rsidRPr="00B04BE0">
              <w:rPr>
                <w:webHidden/>
              </w:rPr>
              <w:fldChar w:fldCharType="separate"/>
            </w:r>
            <w:r w:rsidR="00B04BE0">
              <w:rPr>
                <w:webHidden/>
              </w:rPr>
              <w:t>45</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62" w:history="1">
            <w:r w:rsidR="004963FC" w:rsidRPr="00B04BE0">
              <w:rPr>
                <w:rStyle w:val="Hyperlink"/>
                <w:rFonts w:ascii="Calibri" w:hAnsi="Calibri"/>
                <w:noProof/>
              </w:rPr>
              <w:t>10. Training</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_Toc416259262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46</w:t>
            </w:r>
            <w:r w:rsidR="004963FC" w:rsidRPr="00B04BE0">
              <w:rPr>
                <w:rFonts w:ascii="Calibri" w:hAnsi="Calibri"/>
                <w:noProof/>
                <w:webHidden/>
              </w:rPr>
              <w:fldChar w:fldCharType="end"/>
            </w:r>
          </w:hyperlink>
        </w:p>
        <w:p w:rsidR="004963FC" w:rsidRPr="00B04BE0" w:rsidRDefault="00F949FB">
          <w:pPr>
            <w:pStyle w:val="TOC2"/>
            <w:rPr>
              <w:lang w:eastAsia="zh-CN"/>
            </w:rPr>
          </w:pPr>
          <w:hyperlink w:anchor="_Toc416259263" w:history="1">
            <w:r w:rsidR="004963FC" w:rsidRPr="00B04BE0">
              <w:rPr>
                <w:rStyle w:val="Hyperlink"/>
              </w:rPr>
              <w:t>Municipal Staff Training</w:t>
            </w:r>
            <w:r w:rsidR="004963FC" w:rsidRPr="00B04BE0">
              <w:rPr>
                <w:webHidden/>
              </w:rPr>
              <w:tab/>
            </w:r>
            <w:r w:rsidR="004963FC" w:rsidRPr="00B04BE0">
              <w:rPr>
                <w:webHidden/>
              </w:rPr>
              <w:fldChar w:fldCharType="begin"/>
            </w:r>
            <w:r w:rsidR="004963FC" w:rsidRPr="00B04BE0">
              <w:rPr>
                <w:webHidden/>
              </w:rPr>
              <w:instrText xml:space="preserve"> PAGEREF _Toc416259263 \h </w:instrText>
            </w:r>
            <w:r w:rsidR="004963FC" w:rsidRPr="00B04BE0">
              <w:rPr>
                <w:webHidden/>
              </w:rPr>
            </w:r>
            <w:r w:rsidR="004963FC" w:rsidRPr="00B04BE0">
              <w:rPr>
                <w:webHidden/>
              </w:rPr>
              <w:fldChar w:fldCharType="separate"/>
            </w:r>
            <w:r w:rsidR="00B04BE0">
              <w:rPr>
                <w:webHidden/>
              </w:rPr>
              <w:t>47</w:t>
            </w:r>
            <w:r w:rsidR="004963FC" w:rsidRPr="00B04BE0">
              <w:rPr>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64" w:history="1">
            <w:r w:rsidR="004963FC" w:rsidRPr="00B04BE0">
              <w:rPr>
                <w:rStyle w:val="Hyperlink"/>
                <w:rFonts w:ascii="Calibri" w:hAnsi="Calibri"/>
                <w:noProof/>
              </w:rPr>
              <w:t>11. Outreach and Education</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_Toc416259264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48</w:t>
            </w:r>
            <w:r w:rsidR="004963FC" w:rsidRPr="00B04BE0">
              <w:rPr>
                <w:rFonts w:ascii="Calibri" w:hAnsi="Calibri"/>
                <w:noProof/>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65" w:history="1">
            <w:r w:rsidR="004963FC" w:rsidRPr="00B04BE0">
              <w:rPr>
                <w:rStyle w:val="Hyperlink"/>
                <w:rFonts w:ascii="Calibri" w:hAnsi="Calibri"/>
                <w:noProof/>
              </w:rPr>
              <w:t>12. Data Limitations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_Toc416259265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49</w:t>
            </w:r>
            <w:r w:rsidR="004963FC" w:rsidRPr="00B04BE0">
              <w:rPr>
                <w:rFonts w:ascii="Calibri" w:hAnsi="Calibri"/>
                <w:noProof/>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66" w:history="1">
            <w:r w:rsidR="004963FC" w:rsidRPr="00B04BE0">
              <w:rPr>
                <w:rStyle w:val="Hyperlink"/>
                <w:rFonts w:ascii="Calibri" w:hAnsi="Calibri"/>
                <w:noProof/>
              </w:rPr>
              <w:t>13. Alternative Fuel Barriers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_Toc416259266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49</w:t>
            </w:r>
            <w:r w:rsidR="004963FC" w:rsidRPr="00B04BE0">
              <w:rPr>
                <w:rFonts w:ascii="Calibri" w:hAnsi="Calibri"/>
                <w:noProof/>
                <w:webHidden/>
              </w:rPr>
              <w:fldChar w:fldCharType="end"/>
            </w:r>
          </w:hyperlink>
        </w:p>
        <w:p w:rsidR="004963FC" w:rsidRPr="00B04BE0" w:rsidRDefault="00F949FB">
          <w:pPr>
            <w:pStyle w:val="TOC1"/>
            <w:tabs>
              <w:tab w:val="right" w:leader="dot" w:pos="9350"/>
            </w:tabs>
            <w:rPr>
              <w:rFonts w:ascii="Calibri" w:hAnsi="Calibri"/>
              <w:noProof/>
              <w:lang w:eastAsia="zh-CN"/>
            </w:rPr>
          </w:pPr>
          <w:hyperlink w:anchor="_Toc416259267" w:history="1">
            <w:r w:rsidR="004963FC" w:rsidRPr="00B04BE0">
              <w:rPr>
                <w:rStyle w:val="Hyperlink"/>
                <w:rFonts w:ascii="Calibri" w:hAnsi="Calibri"/>
                <w:noProof/>
              </w:rPr>
              <w:t>14. Conclusion</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_Toc416259267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50</w:t>
            </w:r>
            <w:r w:rsidR="004963FC" w:rsidRPr="00B04BE0">
              <w:rPr>
                <w:rFonts w:ascii="Calibri" w:hAnsi="Calibri"/>
                <w:noProof/>
                <w:webHidden/>
              </w:rPr>
              <w:fldChar w:fldCharType="end"/>
            </w:r>
          </w:hyperlink>
        </w:p>
        <w:p w:rsidR="004963FC" w:rsidRDefault="00F949FB">
          <w:pPr>
            <w:pStyle w:val="TOC1"/>
            <w:tabs>
              <w:tab w:val="right" w:leader="dot" w:pos="9350"/>
            </w:tabs>
            <w:rPr>
              <w:noProof/>
              <w:lang w:eastAsia="zh-CN"/>
            </w:rPr>
          </w:pPr>
          <w:hyperlink w:anchor="_Toc416259268" w:history="1">
            <w:r w:rsidR="004963FC" w:rsidRPr="00B04BE0">
              <w:rPr>
                <w:rStyle w:val="Hyperlink"/>
                <w:rFonts w:ascii="Calibri" w:hAnsi="Calibri"/>
                <w:noProof/>
              </w:rPr>
              <w:t>Appendices</w:t>
            </w:r>
            <w:r w:rsidR="004963FC" w:rsidRPr="00B04BE0">
              <w:rPr>
                <w:rFonts w:ascii="Calibri" w:hAnsi="Calibri"/>
                <w:noProof/>
                <w:webHidden/>
              </w:rPr>
              <w:tab/>
            </w:r>
            <w:r w:rsidR="004963FC" w:rsidRPr="00B04BE0">
              <w:rPr>
                <w:rFonts w:ascii="Calibri" w:hAnsi="Calibri"/>
                <w:noProof/>
                <w:webHidden/>
              </w:rPr>
              <w:fldChar w:fldCharType="begin"/>
            </w:r>
            <w:r w:rsidR="004963FC" w:rsidRPr="00B04BE0">
              <w:rPr>
                <w:rFonts w:ascii="Calibri" w:hAnsi="Calibri"/>
                <w:noProof/>
                <w:webHidden/>
              </w:rPr>
              <w:instrText xml:space="preserve"> PAGEREF _Toc416259268 \h </w:instrText>
            </w:r>
            <w:r w:rsidR="004963FC" w:rsidRPr="00B04BE0">
              <w:rPr>
                <w:rFonts w:ascii="Calibri" w:hAnsi="Calibri"/>
                <w:noProof/>
                <w:webHidden/>
              </w:rPr>
            </w:r>
            <w:r w:rsidR="004963FC" w:rsidRPr="00B04BE0">
              <w:rPr>
                <w:rFonts w:ascii="Calibri" w:hAnsi="Calibri"/>
                <w:noProof/>
                <w:webHidden/>
              </w:rPr>
              <w:fldChar w:fldCharType="separate"/>
            </w:r>
            <w:r w:rsidR="00B04BE0">
              <w:rPr>
                <w:rFonts w:ascii="Calibri" w:hAnsi="Calibri"/>
                <w:noProof/>
                <w:webHidden/>
              </w:rPr>
              <w:t>52</w:t>
            </w:r>
            <w:r w:rsidR="004963FC" w:rsidRPr="00B04BE0">
              <w:rPr>
                <w:rFonts w:ascii="Calibri" w:hAnsi="Calibri"/>
                <w:noProof/>
                <w:webHidden/>
              </w:rPr>
              <w:fldChar w:fldCharType="end"/>
            </w:r>
          </w:hyperlink>
        </w:p>
        <w:p w:rsidR="008C52C1" w:rsidRPr="004A248C" w:rsidRDefault="00DE277E">
          <w:pPr>
            <w:rPr>
              <w:rFonts w:ascii="Calibri" w:hAnsi="Calibri"/>
              <w:bCs/>
              <w:noProof/>
            </w:rPr>
          </w:pPr>
          <w:r w:rsidRPr="004A248C">
            <w:rPr>
              <w:rFonts w:ascii="Calibri" w:hAnsi="Calibri"/>
              <w:b/>
              <w:bCs/>
              <w:noProof/>
            </w:rPr>
            <w:fldChar w:fldCharType="end"/>
          </w:r>
          <w:r w:rsidR="008C52C1" w:rsidRPr="004A248C">
            <w:rPr>
              <w:rFonts w:ascii="Calibri" w:hAnsi="Calibri"/>
              <w:bCs/>
              <w:noProof/>
            </w:rPr>
            <w:t>Appendix A: Refuel Membership List</w:t>
          </w:r>
        </w:p>
        <w:p w:rsidR="00EE0C47" w:rsidRPr="004A248C" w:rsidRDefault="009E4B9A">
          <w:pPr>
            <w:rPr>
              <w:rFonts w:ascii="Calibri" w:hAnsi="Calibri"/>
              <w:bCs/>
              <w:noProof/>
            </w:rPr>
          </w:pPr>
          <w:r w:rsidRPr="004A248C">
            <w:rPr>
              <w:rFonts w:ascii="Calibri" w:hAnsi="Calibri"/>
              <w:bCs/>
              <w:noProof/>
            </w:rPr>
            <w:t xml:space="preserve">Appendix </w:t>
          </w:r>
          <w:r w:rsidR="008C52C1" w:rsidRPr="004A248C">
            <w:rPr>
              <w:rFonts w:ascii="Calibri" w:hAnsi="Calibri"/>
              <w:bCs/>
              <w:noProof/>
            </w:rPr>
            <w:t>B</w:t>
          </w:r>
          <w:r w:rsidRPr="004A248C">
            <w:rPr>
              <w:rFonts w:ascii="Calibri" w:hAnsi="Calibri"/>
              <w:bCs/>
              <w:noProof/>
            </w:rPr>
            <w:t xml:space="preserve">: Regional Alternative Fuel Vehicle and Infrastructure Barriers </w:t>
          </w:r>
        </w:p>
        <w:p w:rsidR="009E4B9A" w:rsidRPr="004A248C" w:rsidRDefault="008C52C1">
          <w:pPr>
            <w:rPr>
              <w:rFonts w:ascii="Calibri" w:hAnsi="Calibri"/>
              <w:bCs/>
              <w:noProof/>
            </w:rPr>
          </w:pPr>
          <w:r w:rsidRPr="004A248C">
            <w:rPr>
              <w:rFonts w:ascii="Calibri" w:hAnsi="Calibri"/>
              <w:bCs/>
              <w:noProof/>
            </w:rPr>
            <w:t>Appendix C</w:t>
          </w:r>
          <w:r w:rsidR="009E4B9A" w:rsidRPr="004A248C">
            <w:rPr>
              <w:rFonts w:ascii="Calibri" w:hAnsi="Calibri"/>
              <w:bCs/>
              <w:noProof/>
            </w:rPr>
            <w:t xml:space="preserve">: Public Agency Alternative Fuel Survey </w:t>
          </w:r>
        </w:p>
        <w:p w:rsidR="009E4B9A" w:rsidRPr="004A248C" w:rsidRDefault="008C52C1">
          <w:pPr>
            <w:rPr>
              <w:rFonts w:ascii="Calibri" w:hAnsi="Calibri"/>
              <w:bCs/>
              <w:noProof/>
            </w:rPr>
          </w:pPr>
          <w:r w:rsidRPr="004A248C">
            <w:rPr>
              <w:rFonts w:ascii="Calibri" w:hAnsi="Calibri"/>
              <w:bCs/>
              <w:noProof/>
            </w:rPr>
            <w:t>Appendix D</w:t>
          </w:r>
          <w:r w:rsidR="009E4B9A" w:rsidRPr="004A248C">
            <w:rPr>
              <w:rFonts w:ascii="Calibri" w:hAnsi="Calibri"/>
              <w:bCs/>
              <w:noProof/>
            </w:rPr>
            <w:t>: Local Fleet Alternative Fuel Survey</w:t>
          </w:r>
        </w:p>
        <w:p w:rsidR="00EE0C47" w:rsidRPr="00DE185C" w:rsidRDefault="00EE0C47">
          <w:pPr>
            <w:rPr>
              <w:rFonts w:ascii="Calibri" w:hAnsi="Calibri"/>
              <w:b/>
              <w:bCs/>
              <w:noProof/>
            </w:rPr>
          </w:pPr>
          <w:r w:rsidRPr="00DE185C">
            <w:rPr>
              <w:rFonts w:ascii="Calibri" w:hAnsi="Calibri"/>
              <w:b/>
              <w:bCs/>
              <w:noProof/>
            </w:rPr>
            <w:br w:type="page"/>
          </w:r>
        </w:p>
        <w:p w:rsidR="00C018FF" w:rsidRPr="00DE185C" w:rsidRDefault="00C018FF">
          <w:pPr>
            <w:pStyle w:val="TableofFigures"/>
            <w:tabs>
              <w:tab w:val="right" w:leader="dot" w:pos="9350"/>
            </w:tabs>
            <w:rPr>
              <w:rFonts w:ascii="Calibri" w:hAnsi="Calibri"/>
              <w:b/>
              <w:bCs/>
              <w:noProof/>
            </w:rPr>
          </w:pPr>
        </w:p>
        <w:p w:rsidR="00C018FF" w:rsidRPr="004A248C" w:rsidRDefault="00C018FF">
          <w:pPr>
            <w:pStyle w:val="TableofFigures"/>
            <w:tabs>
              <w:tab w:val="right" w:leader="dot" w:pos="9350"/>
            </w:tabs>
            <w:rPr>
              <w:rFonts w:ascii="Calibri" w:hAnsi="Calibri"/>
              <w:b/>
              <w:bCs/>
              <w:noProof/>
            </w:rPr>
          </w:pPr>
          <w:r w:rsidRPr="00DE185C">
            <w:rPr>
              <w:rFonts w:ascii="Calibri" w:hAnsi="Calibri"/>
              <w:b/>
              <w:bCs/>
              <w:noProof/>
            </w:rPr>
            <w:t xml:space="preserve">List of </w:t>
          </w:r>
          <w:r w:rsidRPr="004A248C">
            <w:rPr>
              <w:rFonts w:ascii="Calibri" w:hAnsi="Calibri"/>
              <w:b/>
              <w:bCs/>
              <w:noProof/>
            </w:rPr>
            <w:t>Figures</w:t>
          </w:r>
        </w:p>
        <w:p w:rsidR="004963FC" w:rsidRPr="004963FC" w:rsidRDefault="0068516E">
          <w:pPr>
            <w:pStyle w:val="TableofFigures"/>
            <w:tabs>
              <w:tab w:val="right" w:leader="dot" w:pos="9350"/>
            </w:tabs>
            <w:rPr>
              <w:rFonts w:ascii="Calibri" w:hAnsi="Calibri"/>
              <w:noProof/>
              <w:lang w:eastAsia="zh-CN"/>
            </w:rPr>
          </w:pPr>
          <w:r w:rsidRPr="004A248C">
            <w:rPr>
              <w:rFonts w:ascii="Calibri" w:hAnsi="Calibri"/>
              <w:b/>
              <w:bCs/>
              <w:noProof/>
            </w:rPr>
            <w:fldChar w:fldCharType="begin"/>
          </w:r>
          <w:r w:rsidRPr="004A248C">
            <w:rPr>
              <w:rFonts w:ascii="Calibri" w:hAnsi="Calibri"/>
              <w:b/>
              <w:bCs/>
              <w:noProof/>
            </w:rPr>
            <w:instrText xml:space="preserve"> TOC \h \z \t "Subtitle,Chart" \c </w:instrText>
          </w:r>
          <w:r w:rsidRPr="004A248C">
            <w:rPr>
              <w:rFonts w:ascii="Calibri" w:hAnsi="Calibri"/>
              <w:b/>
              <w:bCs/>
              <w:noProof/>
            </w:rPr>
            <w:fldChar w:fldCharType="separate"/>
          </w:r>
          <w:hyperlink w:anchor="_Toc416259269" w:history="1">
            <w:r w:rsidR="004963FC" w:rsidRPr="004963FC">
              <w:rPr>
                <w:rStyle w:val="Hyperlink"/>
                <w:rFonts w:ascii="Calibri" w:hAnsi="Calibri"/>
                <w:noProof/>
              </w:rPr>
              <w:t>Figure 3-1: Familiarity with Alternative Fuels Among Public Agencies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_Toc416259269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9</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0" w:history="1">
            <w:r w:rsidR="004963FC" w:rsidRPr="004963FC">
              <w:rPr>
                <w:rStyle w:val="Hyperlink"/>
                <w:rFonts w:ascii="Calibri" w:hAnsi="Calibri"/>
                <w:noProof/>
              </w:rPr>
              <w:t>Figure 3-2: Familiarity with Alternative Fuels Among Adopting Fleets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_Toc416259270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10</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1" w:history="1">
            <w:r w:rsidR="004963FC" w:rsidRPr="004963FC">
              <w:rPr>
                <w:rStyle w:val="Hyperlink"/>
                <w:rFonts w:ascii="Calibri" w:hAnsi="Calibri"/>
                <w:noProof/>
              </w:rPr>
              <w:t>Figure 4-1: Public Agency Respondents’ Familiarity with State Strategies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_Toc416259271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12</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2" w:history="1">
            <w:r w:rsidR="004963FC" w:rsidRPr="004963FC">
              <w:rPr>
                <w:rStyle w:val="Hyperlink"/>
                <w:rFonts w:ascii="Calibri" w:hAnsi="Calibri"/>
                <w:noProof/>
              </w:rPr>
              <w:t>Figure 4-2: Alternative Fuels and Alternative Fuel Vehicles Fuel Use as a Percent of Total Fuel Demand</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_Toc416259272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14</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3" w:history="1">
            <w:r w:rsidR="004963FC" w:rsidRPr="004963FC">
              <w:rPr>
                <w:rStyle w:val="Hyperlink"/>
                <w:rFonts w:ascii="Calibri" w:hAnsi="Calibri"/>
                <w:noProof/>
              </w:rPr>
              <w:t>Figure 4-3: Preliminary Forecast of On-Road PEVs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_Toc416259273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16</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4" w:history="1">
            <w:r w:rsidR="004963FC" w:rsidRPr="004963FC">
              <w:rPr>
                <w:rStyle w:val="Hyperlink"/>
                <w:rFonts w:ascii="Calibri" w:hAnsi="Calibri"/>
                <w:noProof/>
              </w:rPr>
              <w:t>Figure 5-1: CALGreen Timeline</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_Toc416259274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23</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5" w:history="1">
            <w:r w:rsidR="004963FC" w:rsidRPr="004963FC">
              <w:rPr>
                <w:rStyle w:val="Hyperlink"/>
                <w:rFonts w:ascii="Calibri" w:hAnsi="Calibri"/>
                <w:noProof/>
              </w:rPr>
              <w:t>Figure 5-2: Public Agency Respondents with Alternative Fuel Zoning Codes/Ordinances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_Toc416259275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25</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6" w:history="1">
            <w:r w:rsidR="004963FC" w:rsidRPr="004963FC">
              <w:rPr>
                <w:rStyle w:val="Hyperlink"/>
                <w:rFonts w:ascii="Calibri" w:hAnsi="Calibri"/>
                <w:noProof/>
              </w:rPr>
              <w:t>Figure 6-1: Public Alternative Fuel Stations San Diego County, 1991-2014</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_Toc416259276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27</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7" w:history="1">
            <w:r w:rsidR="004963FC" w:rsidRPr="004963FC">
              <w:rPr>
                <w:rStyle w:val="Hyperlink"/>
                <w:rFonts w:ascii="Calibri" w:hAnsi="Calibri"/>
                <w:noProof/>
              </w:rPr>
              <w:t>Figure 6-2: San Diego County Public Level 2 Electric Vehicle Charging Stations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_Toc416259277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28</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8" w:history="1">
            <w:r w:rsidR="004963FC" w:rsidRPr="004963FC">
              <w:rPr>
                <w:rStyle w:val="Hyperlink"/>
                <w:rFonts w:ascii="Calibri" w:hAnsi="Calibri"/>
                <w:noProof/>
              </w:rPr>
              <w:t>Figure 7-1: Light-Duty Registered Alternative Fuel Vehicle Populations California, 2000-2012</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_Toc416259278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31</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79" w:history="1">
            <w:r w:rsidR="004963FC" w:rsidRPr="004963FC">
              <w:rPr>
                <w:rStyle w:val="Hyperlink"/>
                <w:rFonts w:ascii="Calibri" w:hAnsi="Calibri"/>
                <w:noProof/>
              </w:rPr>
              <w:t>Figure 7-2: New Alternative Fuel Light-Duty Vehicle Sales San Diego County, 2010-2014</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_Toc416259279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32</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80" w:history="1">
            <w:r w:rsidR="004963FC" w:rsidRPr="004963FC">
              <w:rPr>
                <w:rStyle w:val="Hyperlink"/>
                <w:rFonts w:ascii="Calibri" w:hAnsi="Calibri"/>
                <w:noProof/>
              </w:rPr>
              <w:t>Figure 7-3: New Medium- and Heavy-Duty Vehicle Sales San Diego County, 2010-2013</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_Toc416259280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33</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81" w:history="1">
            <w:r w:rsidR="004963FC" w:rsidRPr="004963FC">
              <w:rPr>
                <w:rStyle w:val="Hyperlink"/>
                <w:rFonts w:ascii="Calibri" w:hAnsi="Calibri"/>
                <w:noProof/>
              </w:rPr>
              <w:t>Figure 7-4: San Diego Regional Alternative Fuel Vehicle Sales and Gasoline Prices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_Toc416259281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34</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82" w:history="1">
            <w:r w:rsidR="004963FC" w:rsidRPr="004963FC">
              <w:rPr>
                <w:rStyle w:val="Hyperlink"/>
                <w:rFonts w:ascii="Calibri" w:hAnsi="Calibri"/>
                <w:noProof/>
              </w:rPr>
              <w:t>Figure 7-5: Estimated Cumulative PEV Sales San Diego County, 2010-2014</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_Toc416259282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35</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83" w:history="1">
            <w:r w:rsidR="004963FC" w:rsidRPr="004963FC">
              <w:rPr>
                <w:rStyle w:val="Hyperlink"/>
                <w:rFonts w:ascii="Calibri" w:hAnsi="Calibri"/>
                <w:noProof/>
              </w:rPr>
              <w:t>Figure 7-6: Number of Alternative Fuel Vehicles from SDRCCC Stakeholders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_Toc416259283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36</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84" w:history="1">
            <w:r w:rsidR="004963FC" w:rsidRPr="004963FC">
              <w:rPr>
                <w:rStyle w:val="Hyperlink"/>
                <w:rFonts w:ascii="Calibri" w:hAnsi="Calibri"/>
                <w:noProof/>
              </w:rPr>
              <w:t>Figure 7-7: Yearly Gallons of Gasoline Equivalent Reduced by SDRCCC Stakeholders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_Toc416259284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37</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286" w:history="1">
            <w:r w:rsidR="004963FC" w:rsidRPr="004963FC">
              <w:rPr>
                <w:rStyle w:val="Hyperlink"/>
                <w:rFonts w:ascii="Calibri" w:hAnsi="Calibri"/>
                <w:noProof/>
              </w:rPr>
              <w:t>Figure 8-1: Number of HVIP Vouchers San Diego County, 2010-2014</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_Toc416259286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39</w:t>
            </w:r>
            <w:r w:rsidR="004963FC" w:rsidRPr="004963FC">
              <w:rPr>
                <w:rFonts w:ascii="Calibri" w:hAnsi="Calibri"/>
                <w:noProof/>
                <w:webHidden/>
              </w:rPr>
              <w:fldChar w:fldCharType="end"/>
            </w:r>
          </w:hyperlink>
        </w:p>
        <w:p w:rsidR="004963FC" w:rsidRDefault="00F949FB">
          <w:pPr>
            <w:pStyle w:val="TableofFigures"/>
            <w:tabs>
              <w:tab w:val="right" w:leader="dot" w:pos="9350"/>
            </w:tabs>
            <w:rPr>
              <w:noProof/>
              <w:lang w:eastAsia="zh-CN"/>
            </w:rPr>
          </w:pPr>
          <w:hyperlink w:anchor="_Toc416259287" w:history="1">
            <w:r w:rsidR="004963FC" w:rsidRPr="004963FC">
              <w:rPr>
                <w:rStyle w:val="Hyperlink"/>
                <w:rFonts w:ascii="Calibri" w:hAnsi="Calibri"/>
                <w:noProof/>
              </w:rPr>
              <w:t>Figure 8-2: CVRP Funding in San Diego Region, 2010-2014</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_Toc416259287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41</w:t>
            </w:r>
            <w:r w:rsidR="004963FC" w:rsidRPr="004963FC">
              <w:rPr>
                <w:rFonts w:ascii="Calibri" w:hAnsi="Calibri"/>
                <w:noProof/>
                <w:webHidden/>
              </w:rPr>
              <w:fldChar w:fldCharType="end"/>
            </w:r>
          </w:hyperlink>
        </w:p>
        <w:p w:rsidR="0068516E" w:rsidRPr="004A248C" w:rsidRDefault="0068516E">
          <w:pPr>
            <w:rPr>
              <w:rFonts w:ascii="Calibri" w:hAnsi="Calibri"/>
              <w:b/>
              <w:bCs/>
              <w:noProof/>
            </w:rPr>
          </w:pPr>
          <w:r w:rsidRPr="004A248C">
            <w:rPr>
              <w:rFonts w:ascii="Calibri" w:hAnsi="Calibri"/>
              <w:b/>
              <w:bCs/>
              <w:noProof/>
            </w:rPr>
            <w:fldChar w:fldCharType="end"/>
          </w:r>
        </w:p>
        <w:p w:rsidR="00C768E1" w:rsidRPr="004A248C" w:rsidRDefault="00C768E1">
          <w:pPr>
            <w:pStyle w:val="TableofFigures"/>
            <w:tabs>
              <w:tab w:val="right" w:leader="dot" w:pos="9350"/>
            </w:tabs>
            <w:rPr>
              <w:rFonts w:ascii="Calibri" w:hAnsi="Calibri"/>
              <w:b/>
            </w:rPr>
          </w:pPr>
          <w:r w:rsidRPr="004A248C">
            <w:rPr>
              <w:rFonts w:ascii="Calibri" w:hAnsi="Calibri"/>
              <w:b/>
            </w:rPr>
            <w:t>List of Tables</w:t>
          </w:r>
        </w:p>
        <w:p w:rsidR="004963FC" w:rsidRPr="004963FC" w:rsidRDefault="00C768E1">
          <w:pPr>
            <w:pStyle w:val="TableofFigures"/>
            <w:tabs>
              <w:tab w:val="right" w:leader="dot" w:pos="9350"/>
            </w:tabs>
            <w:rPr>
              <w:rFonts w:ascii="Calibri" w:hAnsi="Calibri"/>
              <w:noProof/>
              <w:lang w:eastAsia="zh-CN"/>
            </w:rPr>
          </w:pPr>
          <w:r w:rsidRPr="004963FC">
            <w:rPr>
              <w:rFonts w:ascii="Calibri" w:hAnsi="Calibri"/>
            </w:rPr>
            <w:fldChar w:fldCharType="begin"/>
          </w:r>
          <w:r w:rsidRPr="004963FC">
            <w:rPr>
              <w:rFonts w:ascii="Calibri" w:hAnsi="Calibri"/>
            </w:rPr>
            <w:instrText xml:space="preserve"> TOC \h \z \t "Heading 5" \c </w:instrText>
          </w:r>
          <w:r w:rsidRPr="004963FC">
            <w:rPr>
              <w:rFonts w:ascii="Calibri" w:hAnsi="Calibri"/>
            </w:rPr>
            <w:fldChar w:fldCharType="separate"/>
          </w:r>
          <w:hyperlink w:anchor="_Toc416259317" w:history="1">
            <w:r w:rsidR="004963FC" w:rsidRPr="004963FC">
              <w:rPr>
                <w:rStyle w:val="Hyperlink"/>
                <w:rFonts w:ascii="Calibri" w:hAnsi="Calibri"/>
                <w:noProof/>
              </w:rPr>
              <w:t>Table 4-1: Alternative Fuel-Oriented Strategies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_Toc416259317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11</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18" w:history="1">
            <w:r w:rsidR="004963FC" w:rsidRPr="004963FC">
              <w:rPr>
                <w:rStyle w:val="Hyperlink"/>
                <w:rFonts w:ascii="Calibri" w:hAnsi="Calibri"/>
                <w:noProof/>
              </w:rPr>
              <w:t>Table 4-2: San Diego Regional Alternative Fuel Strategies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_Toc416259318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18</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19" w:history="1">
            <w:r w:rsidR="004963FC" w:rsidRPr="004963FC">
              <w:rPr>
                <w:rStyle w:val="Hyperlink"/>
                <w:rFonts w:ascii="Calibri" w:hAnsi="Calibri"/>
                <w:bCs/>
                <w:noProof/>
                <w:spacing w:val="5"/>
              </w:rPr>
              <w:t>Table 4-3: Theoretical San Diego Regional Petroleum Reduction Goals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_Toc416259319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20</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20" w:history="1">
            <w:r w:rsidR="004963FC" w:rsidRPr="004963FC">
              <w:rPr>
                <w:rStyle w:val="Hyperlink"/>
                <w:rFonts w:ascii="Calibri" w:hAnsi="Calibri"/>
                <w:noProof/>
              </w:rPr>
              <w:t>Table 5-1: 2013 CALGreen Intervening Cycle Update</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_Toc416259320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24</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21" w:history="1">
            <w:r w:rsidR="004963FC" w:rsidRPr="004963FC">
              <w:rPr>
                <w:rStyle w:val="Hyperlink"/>
                <w:rFonts w:ascii="Calibri" w:hAnsi="Calibri"/>
                <w:noProof/>
              </w:rPr>
              <w:t>Table 6-1: Alternative Fuel Station Coverage</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_Toc416259321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29</w:t>
            </w:r>
            <w:r w:rsidR="004963FC" w:rsidRPr="004963FC">
              <w:rPr>
                <w:rFonts w:ascii="Calibri" w:hAnsi="Calibri"/>
                <w:noProof/>
                <w:webHidden/>
              </w:rPr>
              <w:fldChar w:fldCharType="end"/>
            </w:r>
          </w:hyperlink>
        </w:p>
        <w:p w:rsidR="004963FC" w:rsidRPr="004963FC" w:rsidRDefault="00F949FB" w:rsidP="004963FC">
          <w:pPr>
            <w:pStyle w:val="TableofFigures"/>
            <w:tabs>
              <w:tab w:val="right" w:leader="dot" w:pos="9350"/>
            </w:tabs>
            <w:rPr>
              <w:rFonts w:ascii="Calibri" w:hAnsi="Calibri"/>
              <w:noProof/>
              <w:lang w:eastAsia="zh-CN"/>
            </w:rPr>
          </w:pPr>
          <w:hyperlink w:anchor="_Toc416259285" w:history="1">
            <w:r w:rsidR="004963FC" w:rsidRPr="004963FC">
              <w:rPr>
                <w:rStyle w:val="Hyperlink"/>
                <w:rFonts w:ascii="Calibri" w:hAnsi="Calibri"/>
                <w:bCs/>
                <w:noProof/>
                <w:spacing w:val="5"/>
              </w:rPr>
              <w:t>Table 7-1: Motivations for Adoption by Adopting Fleet Respondents</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_Toc416259285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37</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22" w:history="1">
            <w:r w:rsidR="004963FC" w:rsidRPr="004963FC">
              <w:rPr>
                <w:rStyle w:val="Hyperlink"/>
                <w:rFonts w:ascii="Calibri" w:hAnsi="Calibri"/>
                <w:noProof/>
              </w:rPr>
              <w:t>Table 8-1: Proposition 1B Goods Movement Emissions Reduction Program Projects in the San Diego Region</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_Toc416259322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40</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23" w:history="1">
            <w:r w:rsidR="004963FC" w:rsidRPr="004963FC">
              <w:rPr>
                <w:rStyle w:val="Hyperlink"/>
                <w:rFonts w:ascii="Calibri" w:hAnsi="Calibri"/>
                <w:noProof/>
              </w:rPr>
              <w:t>Table 8-2: Carl Moyer Voucher Incentive Program Projects in the San Diego Region</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_Toc416259323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40</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24" w:history="1">
            <w:r w:rsidR="004963FC" w:rsidRPr="004963FC">
              <w:rPr>
                <w:rStyle w:val="Hyperlink"/>
                <w:rFonts w:ascii="Calibri" w:hAnsi="Calibri"/>
                <w:noProof/>
              </w:rPr>
              <w:t>Table 9-1: ARFVTP Funding: Awards Given to Projects in San Diego Region</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_Toc416259324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43</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25" w:history="1">
            <w:r w:rsidR="004963FC" w:rsidRPr="004963FC">
              <w:rPr>
                <w:rStyle w:val="Hyperlink"/>
                <w:rFonts w:ascii="Calibri" w:hAnsi="Calibri"/>
                <w:noProof/>
              </w:rPr>
              <w:t>Table 9-2: Anticipated 2015 ARFVTP Statewide Funding</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_Toc416259325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43</w:t>
            </w:r>
            <w:r w:rsidR="004963FC" w:rsidRPr="004963FC">
              <w:rPr>
                <w:rFonts w:ascii="Calibri" w:hAnsi="Calibri"/>
                <w:noProof/>
                <w:webHidden/>
              </w:rPr>
              <w:fldChar w:fldCharType="end"/>
            </w:r>
          </w:hyperlink>
        </w:p>
        <w:p w:rsidR="004963FC" w:rsidRPr="004963FC" w:rsidRDefault="00F949FB">
          <w:pPr>
            <w:pStyle w:val="TableofFigures"/>
            <w:tabs>
              <w:tab w:val="right" w:leader="dot" w:pos="9350"/>
            </w:tabs>
            <w:rPr>
              <w:rFonts w:ascii="Calibri" w:hAnsi="Calibri"/>
              <w:noProof/>
              <w:lang w:eastAsia="zh-CN"/>
            </w:rPr>
          </w:pPr>
          <w:hyperlink w:anchor="_Toc416259326" w:history="1">
            <w:r w:rsidR="004963FC" w:rsidRPr="004963FC">
              <w:rPr>
                <w:rStyle w:val="Hyperlink"/>
                <w:rFonts w:ascii="Calibri" w:hAnsi="Calibri"/>
                <w:noProof/>
              </w:rPr>
              <w:t>Table 11-1: San Diego Regional Clean Cities Coalition Workshops and Events, 2012-2014</w:t>
            </w:r>
            <w:r w:rsidR="004963FC" w:rsidRPr="004963FC">
              <w:rPr>
                <w:rFonts w:ascii="Calibri" w:hAnsi="Calibri"/>
                <w:noProof/>
                <w:webHidden/>
              </w:rPr>
              <w:tab/>
            </w:r>
            <w:r w:rsidR="004963FC" w:rsidRPr="004963FC">
              <w:rPr>
                <w:rFonts w:ascii="Calibri" w:hAnsi="Calibri"/>
                <w:noProof/>
                <w:webHidden/>
              </w:rPr>
              <w:fldChar w:fldCharType="begin"/>
            </w:r>
            <w:r w:rsidR="004963FC" w:rsidRPr="004963FC">
              <w:rPr>
                <w:rFonts w:ascii="Calibri" w:hAnsi="Calibri"/>
                <w:noProof/>
                <w:webHidden/>
              </w:rPr>
              <w:instrText xml:space="preserve"> PAGEREF _Toc416259326 \h </w:instrText>
            </w:r>
            <w:r w:rsidR="004963FC" w:rsidRPr="004963FC">
              <w:rPr>
                <w:rFonts w:ascii="Calibri" w:hAnsi="Calibri"/>
                <w:noProof/>
                <w:webHidden/>
              </w:rPr>
            </w:r>
            <w:r w:rsidR="004963FC" w:rsidRPr="004963FC">
              <w:rPr>
                <w:rFonts w:ascii="Calibri" w:hAnsi="Calibri"/>
                <w:noProof/>
                <w:webHidden/>
              </w:rPr>
              <w:fldChar w:fldCharType="separate"/>
            </w:r>
            <w:r w:rsidR="00B04BE0">
              <w:rPr>
                <w:rFonts w:ascii="Calibri" w:hAnsi="Calibri"/>
                <w:noProof/>
                <w:webHidden/>
              </w:rPr>
              <w:t>48</w:t>
            </w:r>
            <w:r w:rsidR="004963FC" w:rsidRPr="004963FC">
              <w:rPr>
                <w:rFonts w:ascii="Calibri" w:hAnsi="Calibri"/>
                <w:noProof/>
                <w:webHidden/>
              </w:rPr>
              <w:fldChar w:fldCharType="end"/>
            </w:r>
          </w:hyperlink>
        </w:p>
        <w:p w:rsidR="00EA4214" w:rsidRPr="00DE185C" w:rsidRDefault="00C768E1">
          <w:pPr>
            <w:rPr>
              <w:rFonts w:ascii="Calibri" w:hAnsi="Calibri"/>
            </w:rPr>
          </w:pPr>
          <w:r w:rsidRPr="004963FC">
            <w:rPr>
              <w:rFonts w:ascii="Calibri" w:hAnsi="Calibri"/>
            </w:rPr>
            <w:fldChar w:fldCharType="end"/>
          </w:r>
        </w:p>
      </w:sdtContent>
    </w:sdt>
    <w:p w:rsidR="0068516E" w:rsidRPr="00DE185C" w:rsidRDefault="0068516E">
      <w:pPr>
        <w:rPr>
          <w:rFonts w:ascii="Calibri" w:eastAsiaTheme="majorEastAsia" w:hAnsi="Calibri" w:cstheme="majorBidi"/>
          <w:bCs/>
          <w:sz w:val="40"/>
          <w:szCs w:val="28"/>
        </w:rPr>
      </w:pPr>
      <w:r w:rsidRPr="00DE185C">
        <w:rPr>
          <w:rFonts w:ascii="Calibri" w:hAnsi="Calibri"/>
        </w:rPr>
        <w:br w:type="page"/>
      </w:r>
    </w:p>
    <w:p w:rsidR="00715FD9" w:rsidRPr="00DE185C" w:rsidRDefault="002440D4" w:rsidP="00524127">
      <w:pPr>
        <w:pStyle w:val="Heading1"/>
        <w:rPr>
          <w:rFonts w:ascii="Calibri" w:hAnsi="Calibri"/>
        </w:rPr>
      </w:pPr>
      <w:bookmarkStart w:id="0" w:name="_Toc416259229"/>
      <w:r w:rsidRPr="00DE185C">
        <w:rPr>
          <w:rFonts w:ascii="Calibri" w:hAnsi="Calibri"/>
        </w:rPr>
        <w:lastRenderedPageBreak/>
        <w:t xml:space="preserve">1. </w:t>
      </w:r>
      <w:r w:rsidR="00715FD9" w:rsidRPr="00DE185C">
        <w:rPr>
          <w:rFonts w:ascii="Calibri" w:hAnsi="Calibri"/>
        </w:rPr>
        <w:t>Executive Summary</w:t>
      </w:r>
      <w:bookmarkEnd w:id="0"/>
    </w:p>
    <w:p w:rsidR="004F4A28" w:rsidRPr="00DE185C" w:rsidRDefault="004F4A28" w:rsidP="004F4A28">
      <w:pPr>
        <w:rPr>
          <w:rFonts w:ascii="Calibri" w:hAnsi="Calibri"/>
        </w:rPr>
      </w:pPr>
      <w:r w:rsidRPr="00DE185C">
        <w:rPr>
          <w:rFonts w:ascii="Calibri" w:hAnsi="Calibri"/>
        </w:rPr>
        <w:t xml:space="preserve">The San Diego Regional Alternative Fuel Readiness Assessment (Assessment) provides an overview of the current state of alternative fuels in the San Diego region in order to better inform the creation of a regional alternative fuel readiness plan and related resources. The Assessment </w:t>
      </w:r>
      <w:r w:rsidR="00A43667">
        <w:rPr>
          <w:rFonts w:ascii="Calibri" w:hAnsi="Calibri"/>
        </w:rPr>
        <w:t xml:space="preserve">draws from </w:t>
      </w:r>
      <w:r w:rsidR="00F91D52">
        <w:rPr>
          <w:rFonts w:ascii="Calibri" w:hAnsi="Calibri"/>
        </w:rPr>
        <w:t xml:space="preserve"> </w:t>
      </w:r>
      <w:r w:rsidRPr="00DE185C">
        <w:rPr>
          <w:rFonts w:ascii="Calibri" w:hAnsi="Calibri"/>
        </w:rPr>
        <w:t xml:space="preserve">three main </w:t>
      </w:r>
      <w:r w:rsidR="008B15C9">
        <w:rPr>
          <w:rFonts w:ascii="Calibri" w:hAnsi="Calibri"/>
        </w:rPr>
        <w:t>influences</w:t>
      </w:r>
      <w:r w:rsidRPr="00DE185C">
        <w:rPr>
          <w:rFonts w:ascii="Calibri" w:hAnsi="Calibri"/>
        </w:rPr>
        <w:t xml:space="preserve">: existing conditions, survey results, and the regional alternative fuel barriers table. </w:t>
      </w:r>
    </w:p>
    <w:p w:rsidR="004F4A28" w:rsidRPr="00DE185C" w:rsidRDefault="004F4A28" w:rsidP="004F4A28">
      <w:pPr>
        <w:rPr>
          <w:rFonts w:ascii="Calibri" w:hAnsi="Calibri"/>
        </w:rPr>
      </w:pPr>
      <w:r w:rsidRPr="00DE185C">
        <w:rPr>
          <w:rFonts w:ascii="Calibri" w:hAnsi="Calibri"/>
        </w:rPr>
        <w:t xml:space="preserve">This Assessment addresses the following alternative fuels: biodiesel, electricity, ethanol (flex fuel/E85), hydrogen, natural gas (CNG/LNG), and propane </w:t>
      </w:r>
      <w:proofErr w:type="spellStart"/>
      <w:r w:rsidRPr="00DE185C">
        <w:rPr>
          <w:rFonts w:ascii="Calibri" w:hAnsi="Calibri"/>
        </w:rPr>
        <w:t>autogas</w:t>
      </w:r>
      <w:proofErr w:type="spellEnd"/>
      <w:r w:rsidRPr="00DE185C">
        <w:rPr>
          <w:rFonts w:ascii="Calibri" w:hAnsi="Calibri"/>
        </w:rPr>
        <w:t xml:space="preserve"> (LPG). These fuels offer a realistic alternative to traditional gasoline and diesel </w:t>
      </w:r>
      <w:r w:rsidR="001C6C7B">
        <w:rPr>
          <w:rFonts w:ascii="Calibri" w:hAnsi="Calibri"/>
        </w:rPr>
        <w:t xml:space="preserve">fuels, </w:t>
      </w:r>
      <w:r w:rsidRPr="00DE185C">
        <w:rPr>
          <w:rFonts w:ascii="Calibri" w:hAnsi="Calibri"/>
        </w:rPr>
        <w:t>and support local, state, and federal efforts to reduce greenhouse gas</w:t>
      </w:r>
      <w:r w:rsidR="00035779">
        <w:rPr>
          <w:rFonts w:ascii="Calibri" w:hAnsi="Calibri"/>
        </w:rPr>
        <w:t xml:space="preserve"> (GHG) emissions,</w:t>
      </w:r>
      <w:r w:rsidRPr="00DE185C">
        <w:rPr>
          <w:rFonts w:ascii="Calibri" w:hAnsi="Calibri"/>
        </w:rPr>
        <w:t xml:space="preserve"> criteria air pollutants</w:t>
      </w:r>
      <w:r w:rsidR="001C6C7B">
        <w:rPr>
          <w:rFonts w:ascii="Calibri" w:hAnsi="Calibri"/>
        </w:rPr>
        <w:t>,</w:t>
      </w:r>
      <w:r w:rsidRPr="00DE185C">
        <w:rPr>
          <w:rFonts w:ascii="Calibri" w:hAnsi="Calibri"/>
        </w:rPr>
        <w:t xml:space="preserve"> and dependence on imported petroleum.</w:t>
      </w:r>
    </w:p>
    <w:p w:rsidR="004F4A28" w:rsidRPr="00DE185C" w:rsidRDefault="00F81E8F" w:rsidP="004F4A28">
      <w:pPr>
        <w:rPr>
          <w:rFonts w:ascii="Calibri" w:hAnsi="Calibri"/>
        </w:rPr>
      </w:pPr>
      <w:r>
        <w:rPr>
          <w:rFonts w:ascii="Calibri" w:hAnsi="Calibri"/>
        </w:rPr>
        <w:t xml:space="preserve">Identifying the </w:t>
      </w:r>
      <w:r w:rsidR="004F4A28" w:rsidRPr="00DE185C">
        <w:rPr>
          <w:rFonts w:ascii="Calibri" w:hAnsi="Calibri"/>
        </w:rPr>
        <w:t>existing conditions</w:t>
      </w:r>
      <w:r w:rsidR="009426DA">
        <w:rPr>
          <w:rFonts w:ascii="Calibri" w:hAnsi="Calibri"/>
        </w:rPr>
        <w:t xml:space="preserve"> </w:t>
      </w:r>
      <w:r>
        <w:rPr>
          <w:rFonts w:ascii="Calibri" w:hAnsi="Calibri"/>
        </w:rPr>
        <w:t xml:space="preserve">of alternative fuels in the San Diego region establishes </w:t>
      </w:r>
      <w:r w:rsidR="004F4A28" w:rsidRPr="00DE185C">
        <w:rPr>
          <w:rFonts w:ascii="Calibri" w:hAnsi="Calibri"/>
        </w:rPr>
        <w:t xml:space="preserve">a baseline of information and serves as a starting block for the development of sector-specific toolkits </w:t>
      </w:r>
      <w:r>
        <w:rPr>
          <w:rFonts w:ascii="Calibri" w:hAnsi="Calibri"/>
        </w:rPr>
        <w:t xml:space="preserve">to support </w:t>
      </w:r>
      <w:r w:rsidR="004F4A28" w:rsidRPr="00DE185C">
        <w:rPr>
          <w:rFonts w:ascii="Calibri" w:hAnsi="Calibri"/>
        </w:rPr>
        <w:t xml:space="preserve">local governments </w:t>
      </w:r>
      <w:r>
        <w:rPr>
          <w:rFonts w:ascii="Calibri" w:hAnsi="Calibri"/>
        </w:rPr>
        <w:t xml:space="preserve">in their efforts to </w:t>
      </w:r>
      <w:r w:rsidR="004F4A28" w:rsidRPr="00DE185C">
        <w:rPr>
          <w:rFonts w:ascii="Calibri" w:hAnsi="Calibri"/>
        </w:rPr>
        <w:t xml:space="preserve">better understand </w:t>
      </w:r>
      <w:r>
        <w:rPr>
          <w:rFonts w:ascii="Calibri" w:hAnsi="Calibri"/>
        </w:rPr>
        <w:t xml:space="preserve">their role in the </w:t>
      </w:r>
      <w:r w:rsidR="004F4A28" w:rsidRPr="00DE185C">
        <w:rPr>
          <w:rFonts w:ascii="Calibri" w:hAnsi="Calibri"/>
        </w:rPr>
        <w:t xml:space="preserve">deployment of </w:t>
      </w:r>
      <w:r>
        <w:rPr>
          <w:rFonts w:ascii="Calibri" w:hAnsi="Calibri"/>
        </w:rPr>
        <w:t xml:space="preserve">various </w:t>
      </w:r>
      <w:r w:rsidR="004F4A28" w:rsidRPr="00DE185C">
        <w:rPr>
          <w:rFonts w:ascii="Calibri" w:hAnsi="Calibri"/>
        </w:rPr>
        <w:t xml:space="preserve">alternative fuels. </w:t>
      </w:r>
      <w:r w:rsidR="00A43667">
        <w:rPr>
          <w:rFonts w:ascii="Calibri" w:hAnsi="Calibri"/>
        </w:rPr>
        <w:t>The Assessment</w:t>
      </w:r>
      <w:r w:rsidR="00240B00">
        <w:rPr>
          <w:rFonts w:ascii="Calibri" w:hAnsi="Calibri"/>
        </w:rPr>
        <w:t xml:space="preserve"> </w:t>
      </w:r>
      <w:r w:rsidR="004F4A28" w:rsidRPr="00DE185C">
        <w:rPr>
          <w:rFonts w:ascii="Calibri" w:hAnsi="Calibri"/>
        </w:rPr>
        <w:t xml:space="preserve"> detail</w:t>
      </w:r>
      <w:r w:rsidR="00AF1307">
        <w:rPr>
          <w:rFonts w:ascii="Calibri" w:hAnsi="Calibri"/>
        </w:rPr>
        <w:t>s</w:t>
      </w:r>
      <w:r w:rsidR="004F4A28" w:rsidRPr="00DE185C">
        <w:rPr>
          <w:rFonts w:ascii="Calibri" w:hAnsi="Calibri"/>
        </w:rPr>
        <w:t xml:space="preserve"> alternative fuel use in the San Diego region, including, but not limited to, past regional alternative fuel planning</w:t>
      </w:r>
      <w:r w:rsidR="00575F61">
        <w:rPr>
          <w:rFonts w:ascii="Calibri" w:hAnsi="Calibri"/>
        </w:rPr>
        <w:t xml:space="preserve"> efforts</w:t>
      </w:r>
      <w:r w:rsidR="004F4A28" w:rsidRPr="00DE185C">
        <w:rPr>
          <w:rFonts w:ascii="Calibri" w:hAnsi="Calibri"/>
        </w:rPr>
        <w:t xml:space="preserve">, incentives and investment for alternative fuel projects, and current alternative fuel vehicles and infrastructure in the region. </w:t>
      </w:r>
    </w:p>
    <w:p w:rsidR="004F4A28" w:rsidRPr="00DE185C" w:rsidRDefault="008B15C9" w:rsidP="004F4A28">
      <w:pPr>
        <w:rPr>
          <w:rFonts w:ascii="Calibri" w:hAnsi="Calibri"/>
        </w:rPr>
      </w:pPr>
      <w:r>
        <w:rPr>
          <w:rFonts w:ascii="Calibri" w:hAnsi="Calibri"/>
        </w:rPr>
        <w:t>Survey</w:t>
      </w:r>
      <w:r w:rsidR="004F4A28" w:rsidRPr="00DE185C">
        <w:rPr>
          <w:rFonts w:ascii="Calibri" w:hAnsi="Calibri"/>
        </w:rPr>
        <w:t xml:space="preserve"> results provide</w:t>
      </w:r>
      <w:r w:rsidR="00A43667">
        <w:rPr>
          <w:rFonts w:ascii="Calibri" w:hAnsi="Calibri"/>
        </w:rPr>
        <w:t xml:space="preserve"> the Assessment with</w:t>
      </w:r>
      <w:r w:rsidR="004F4A28" w:rsidRPr="00DE185C">
        <w:rPr>
          <w:rFonts w:ascii="Calibri" w:hAnsi="Calibri"/>
        </w:rPr>
        <w:t xml:space="preserve"> information </w:t>
      </w:r>
      <w:r w:rsidR="00DD739A">
        <w:rPr>
          <w:rFonts w:ascii="Calibri" w:hAnsi="Calibri"/>
        </w:rPr>
        <w:t xml:space="preserve">on </w:t>
      </w:r>
      <w:r w:rsidR="004F4A28" w:rsidRPr="00DE185C">
        <w:rPr>
          <w:rFonts w:ascii="Calibri" w:hAnsi="Calibri"/>
        </w:rPr>
        <w:t xml:space="preserve">the level of alternative fuel </w:t>
      </w:r>
      <w:r w:rsidR="00735AE5">
        <w:rPr>
          <w:rFonts w:ascii="Calibri" w:hAnsi="Calibri"/>
        </w:rPr>
        <w:t xml:space="preserve">awareness </w:t>
      </w:r>
      <w:r w:rsidR="004F4A28" w:rsidRPr="00DE185C">
        <w:rPr>
          <w:rFonts w:ascii="Calibri" w:hAnsi="Calibri"/>
        </w:rPr>
        <w:t xml:space="preserve">and usage characteristics of public and </w:t>
      </w:r>
      <w:r w:rsidR="00735AE5">
        <w:rPr>
          <w:rFonts w:ascii="Calibri" w:hAnsi="Calibri"/>
        </w:rPr>
        <w:t>private</w:t>
      </w:r>
      <w:r w:rsidR="00DD739A">
        <w:rPr>
          <w:rFonts w:ascii="Calibri" w:hAnsi="Calibri"/>
        </w:rPr>
        <w:t xml:space="preserve"> </w:t>
      </w:r>
      <w:r w:rsidR="004F4A28" w:rsidRPr="00DE185C">
        <w:rPr>
          <w:rFonts w:ascii="Calibri" w:hAnsi="Calibri"/>
        </w:rPr>
        <w:t>fleets in the San Diego region.</w:t>
      </w:r>
      <w:r w:rsidR="009426DA">
        <w:rPr>
          <w:rFonts w:ascii="Calibri" w:hAnsi="Calibri"/>
        </w:rPr>
        <w:t xml:space="preserve"> </w:t>
      </w:r>
      <w:r w:rsidR="004F4A28" w:rsidRPr="00DE185C">
        <w:rPr>
          <w:rFonts w:ascii="Calibri" w:hAnsi="Calibri"/>
        </w:rPr>
        <w:t xml:space="preserve">The alternative fuel barriers table </w:t>
      </w:r>
      <w:r w:rsidR="00DD739A">
        <w:rPr>
          <w:rFonts w:ascii="Calibri" w:hAnsi="Calibri"/>
        </w:rPr>
        <w:t>identifies</w:t>
      </w:r>
      <w:r w:rsidR="00DD739A" w:rsidRPr="00DE185C">
        <w:rPr>
          <w:rFonts w:ascii="Calibri" w:hAnsi="Calibri"/>
        </w:rPr>
        <w:t xml:space="preserve"> </w:t>
      </w:r>
      <w:r w:rsidR="004F4A28" w:rsidRPr="00DE185C">
        <w:rPr>
          <w:rFonts w:ascii="Calibri" w:hAnsi="Calibri"/>
        </w:rPr>
        <w:t>the current obstacles that the San Diego region faces, including educational, technical</w:t>
      </w:r>
      <w:r w:rsidR="00BA5095">
        <w:rPr>
          <w:rFonts w:ascii="Calibri" w:hAnsi="Calibri"/>
        </w:rPr>
        <w:t>,</w:t>
      </w:r>
      <w:r w:rsidR="004F4A28" w:rsidRPr="00DE185C">
        <w:rPr>
          <w:rFonts w:ascii="Calibri" w:hAnsi="Calibri"/>
        </w:rPr>
        <w:t xml:space="preserve"> and financial barriers. The barriers table </w:t>
      </w:r>
      <w:r w:rsidR="00DD739A">
        <w:rPr>
          <w:rFonts w:ascii="Calibri" w:hAnsi="Calibri"/>
        </w:rPr>
        <w:t>provides</w:t>
      </w:r>
      <w:r w:rsidR="00DD739A" w:rsidRPr="00DE185C">
        <w:rPr>
          <w:rFonts w:ascii="Calibri" w:hAnsi="Calibri"/>
        </w:rPr>
        <w:t xml:space="preserve"> </w:t>
      </w:r>
      <w:r w:rsidR="004F4A28" w:rsidRPr="00DE185C">
        <w:rPr>
          <w:rFonts w:ascii="Calibri" w:hAnsi="Calibri"/>
        </w:rPr>
        <w:t xml:space="preserve">recommendations for overcoming the noted barriers. These recommendations were developed in </w:t>
      </w:r>
      <w:r w:rsidR="00BA5095">
        <w:rPr>
          <w:rFonts w:ascii="Calibri" w:hAnsi="Calibri"/>
        </w:rPr>
        <w:t xml:space="preserve">response </w:t>
      </w:r>
      <w:r w:rsidR="004F4A28" w:rsidRPr="00DE185C">
        <w:rPr>
          <w:rFonts w:ascii="Calibri" w:hAnsi="Calibri"/>
        </w:rPr>
        <w:t>to the survey results</w:t>
      </w:r>
      <w:r w:rsidR="00DD739A">
        <w:rPr>
          <w:rFonts w:ascii="Calibri" w:hAnsi="Calibri"/>
        </w:rPr>
        <w:t>,</w:t>
      </w:r>
      <w:r w:rsidR="004F4A28" w:rsidRPr="00DE185C">
        <w:rPr>
          <w:rFonts w:ascii="Calibri" w:hAnsi="Calibri"/>
        </w:rPr>
        <w:t xml:space="preserve"> </w:t>
      </w:r>
      <w:r w:rsidR="00A43667">
        <w:rPr>
          <w:rFonts w:ascii="Calibri" w:hAnsi="Calibri"/>
        </w:rPr>
        <w:t>existing conditions research</w:t>
      </w:r>
      <w:r w:rsidR="00DD739A">
        <w:rPr>
          <w:rFonts w:ascii="Calibri" w:hAnsi="Calibri"/>
        </w:rPr>
        <w:t xml:space="preserve">, and input from </w:t>
      </w:r>
      <w:r w:rsidR="00850F92">
        <w:rPr>
          <w:rFonts w:ascii="Calibri" w:hAnsi="Calibri"/>
        </w:rPr>
        <w:t xml:space="preserve">Refuel: San Diego Regional </w:t>
      </w:r>
      <w:r w:rsidR="00DD739A">
        <w:rPr>
          <w:rFonts w:ascii="Calibri" w:hAnsi="Calibri"/>
        </w:rPr>
        <w:t>Alternative Fuel Coordinating Council</w:t>
      </w:r>
      <w:r w:rsidR="004C42C6">
        <w:rPr>
          <w:rFonts w:ascii="Calibri" w:hAnsi="Calibri"/>
        </w:rPr>
        <w:t xml:space="preserve"> (Refuel)</w:t>
      </w:r>
      <w:r w:rsidR="004F4A28" w:rsidRPr="00DE185C">
        <w:rPr>
          <w:rFonts w:ascii="Calibri" w:hAnsi="Calibri"/>
        </w:rPr>
        <w:t xml:space="preserve">. </w:t>
      </w:r>
    </w:p>
    <w:p w:rsidR="004F4A28" w:rsidRPr="00DE185C" w:rsidRDefault="004F4A28" w:rsidP="004F4A28">
      <w:pPr>
        <w:rPr>
          <w:rFonts w:ascii="Calibri" w:hAnsi="Calibri"/>
        </w:rPr>
      </w:pPr>
      <w:r w:rsidRPr="00DE185C">
        <w:rPr>
          <w:rFonts w:ascii="Calibri" w:hAnsi="Calibri"/>
        </w:rPr>
        <w:t xml:space="preserve">The Assessment highlights the </w:t>
      </w:r>
      <w:r w:rsidR="00CE21A6">
        <w:rPr>
          <w:rFonts w:ascii="Calibri" w:hAnsi="Calibri"/>
        </w:rPr>
        <w:t xml:space="preserve">San Diego region’s </w:t>
      </w:r>
      <w:r w:rsidRPr="00DE185C">
        <w:rPr>
          <w:rFonts w:ascii="Calibri" w:hAnsi="Calibri"/>
        </w:rPr>
        <w:t xml:space="preserve">current alternative fuel ecosystem in a number of ways. First, while the San Diego region has made noticeable progress in the adoption of alternative fuels, they equate to a small portion of the region’s </w:t>
      </w:r>
      <w:r w:rsidR="00CE21A6">
        <w:rPr>
          <w:rFonts w:ascii="Calibri" w:hAnsi="Calibri"/>
        </w:rPr>
        <w:t xml:space="preserve">overall </w:t>
      </w:r>
      <w:r w:rsidRPr="00DE185C">
        <w:rPr>
          <w:rFonts w:ascii="Calibri" w:hAnsi="Calibri"/>
        </w:rPr>
        <w:t>total fuel use. Light-duty flex fuel vehicles and plug-in electric vehicles (PEVs), in particular, have been growing steadily in number; however, 80</w:t>
      </w:r>
      <w:r w:rsidR="00DD739A">
        <w:rPr>
          <w:rFonts w:ascii="Calibri" w:hAnsi="Calibri"/>
        </w:rPr>
        <w:t xml:space="preserve"> percent</w:t>
      </w:r>
      <w:r w:rsidRPr="00DE185C">
        <w:rPr>
          <w:rFonts w:ascii="Calibri" w:hAnsi="Calibri"/>
        </w:rPr>
        <w:t xml:space="preserve"> of the region’s light-duty vehicles </w:t>
      </w:r>
      <w:r w:rsidR="00DD739A">
        <w:rPr>
          <w:rFonts w:ascii="Calibri" w:hAnsi="Calibri"/>
        </w:rPr>
        <w:t>use</w:t>
      </w:r>
      <w:r w:rsidRPr="00DE185C">
        <w:rPr>
          <w:rFonts w:ascii="Calibri" w:hAnsi="Calibri"/>
        </w:rPr>
        <w:t xml:space="preserve"> conventional gasoline. Second, the San Diego region has benefitted from over nine million dollars in State investment, in terms of grants and vehicle rebates, for alternative fuel projects. Third, alternative fuel infrastructure is limited in number but covers a large portion of the regions business and residents. Finally, </w:t>
      </w:r>
      <w:r w:rsidR="00C3659A">
        <w:rPr>
          <w:rFonts w:ascii="Calibri" w:hAnsi="Calibri"/>
        </w:rPr>
        <w:t>public agencies</w:t>
      </w:r>
      <w:r w:rsidRPr="00DE185C">
        <w:rPr>
          <w:rFonts w:ascii="Calibri" w:hAnsi="Calibri"/>
        </w:rPr>
        <w:t xml:space="preserve"> and fleet</w:t>
      </w:r>
      <w:r w:rsidR="00AE285A">
        <w:rPr>
          <w:rFonts w:ascii="Calibri" w:hAnsi="Calibri"/>
        </w:rPr>
        <w:t xml:space="preserve"> managers</w:t>
      </w:r>
      <w:r w:rsidRPr="00DE185C">
        <w:rPr>
          <w:rFonts w:ascii="Calibri" w:hAnsi="Calibri"/>
        </w:rPr>
        <w:t xml:space="preserve"> need more</w:t>
      </w:r>
      <w:r w:rsidR="009426DA">
        <w:rPr>
          <w:rFonts w:ascii="Calibri" w:hAnsi="Calibri"/>
        </w:rPr>
        <w:t xml:space="preserve"> </w:t>
      </w:r>
      <w:r w:rsidRPr="00DE185C">
        <w:rPr>
          <w:rFonts w:ascii="Calibri" w:hAnsi="Calibri"/>
        </w:rPr>
        <w:t>information on the technical and economic aspects of fuels to integrate these alternatives into their plans and operations.</w:t>
      </w:r>
    </w:p>
    <w:p w:rsidR="00066847" w:rsidRPr="00DE185C" w:rsidRDefault="00066847">
      <w:pPr>
        <w:rPr>
          <w:rFonts w:ascii="Calibri" w:eastAsiaTheme="majorEastAsia" w:hAnsi="Calibri" w:cstheme="majorBidi"/>
          <w:bCs/>
          <w:sz w:val="40"/>
          <w:szCs w:val="28"/>
        </w:rPr>
      </w:pPr>
      <w:r w:rsidRPr="00DE185C">
        <w:rPr>
          <w:rFonts w:ascii="Calibri" w:hAnsi="Calibri"/>
        </w:rPr>
        <w:br w:type="page"/>
      </w:r>
    </w:p>
    <w:p w:rsidR="00953946" w:rsidRPr="00DE185C" w:rsidRDefault="002440D4" w:rsidP="00524127">
      <w:pPr>
        <w:pStyle w:val="Heading1"/>
        <w:rPr>
          <w:rFonts w:ascii="Calibri" w:hAnsi="Calibri"/>
        </w:rPr>
      </w:pPr>
      <w:bookmarkStart w:id="1" w:name="_Toc416259230"/>
      <w:r w:rsidRPr="00DE185C">
        <w:rPr>
          <w:rFonts w:ascii="Calibri" w:hAnsi="Calibri"/>
        </w:rPr>
        <w:t xml:space="preserve">2. </w:t>
      </w:r>
      <w:r w:rsidR="00524127" w:rsidRPr="00DE185C">
        <w:rPr>
          <w:rFonts w:ascii="Calibri" w:hAnsi="Calibri"/>
        </w:rPr>
        <w:t>Purpose</w:t>
      </w:r>
      <w:bookmarkEnd w:id="1"/>
    </w:p>
    <w:p w:rsidR="008D09CD" w:rsidRPr="00DE185C" w:rsidRDefault="00C80814" w:rsidP="00524127">
      <w:pPr>
        <w:rPr>
          <w:rFonts w:ascii="Calibri" w:hAnsi="Calibri"/>
        </w:rPr>
      </w:pPr>
      <w:r w:rsidRPr="00DE185C">
        <w:rPr>
          <w:rFonts w:ascii="Calibri" w:hAnsi="Calibri"/>
        </w:rPr>
        <w:t xml:space="preserve">With funding awarded by </w:t>
      </w:r>
      <w:r w:rsidR="00524127" w:rsidRPr="00DE185C">
        <w:rPr>
          <w:rFonts w:ascii="Calibri" w:hAnsi="Calibri"/>
        </w:rPr>
        <w:t xml:space="preserve">the California Energy Commission (Energy Commission), the San Diego region </w:t>
      </w:r>
      <w:r w:rsidRPr="00DE185C">
        <w:rPr>
          <w:rFonts w:ascii="Calibri" w:hAnsi="Calibri"/>
        </w:rPr>
        <w:t xml:space="preserve">will expand upon previous regional planning efforts specific to PEVs, broadening them to </w:t>
      </w:r>
      <w:r w:rsidR="009305D2">
        <w:rPr>
          <w:rFonts w:ascii="Calibri" w:hAnsi="Calibri"/>
        </w:rPr>
        <w:t xml:space="preserve">include all </w:t>
      </w:r>
      <w:r w:rsidR="00524127" w:rsidRPr="00DE185C">
        <w:rPr>
          <w:rFonts w:ascii="Calibri" w:hAnsi="Calibri"/>
        </w:rPr>
        <w:t>alternative fuels</w:t>
      </w:r>
      <w:r w:rsidRPr="00DE185C">
        <w:rPr>
          <w:rFonts w:ascii="Calibri" w:hAnsi="Calibri"/>
        </w:rPr>
        <w:t>.</w:t>
      </w:r>
      <w:r w:rsidR="009426DA">
        <w:rPr>
          <w:rFonts w:ascii="Calibri" w:hAnsi="Calibri"/>
        </w:rPr>
        <w:t xml:space="preserve"> </w:t>
      </w:r>
      <w:r w:rsidRPr="00DE185C">
        <w:rPr>
          <w:rFonts w:ascii="Calibri" w:hAnsi="Calibri"/>
        </w:rPr>
        <w:t>L</w:t>
      </w:r>
      <w:r w:rsidR="00524127" w:rsidRPr="00DE185C">
        <w:rPr>
          <w:rFonts w:ascii="Calibri" w:hAnsi="Calibri"/>
        </w:rPr>
        <w:t>ed by the San Diego Association of Governments (SANDAG)</w:t>
      </w:r>
      <w:r w:rsidRPr="00DE185C">
        <w:rPr>
          <w:rFonts w:ascii="Calibri" w:hAnsi="Calibri"/>
        </w:rPr>
        <w:t>, in partnership with the San Diego Regional Clean Cities Coalition (SDRCCC) and the San Diego Air Pollution Control District (SDAPCD), t</w:t>
      </w:r>
      <w:r w:rsidR="00524127" w:rsidRPr="00DE185C">
        <w:rPr>
          <w:rFonts w:ascii="Calibri" w:hAnsi="Calibri"/>
        </w:rPr>
        <w:t xml:space="preserve">he goal </w:t>
      </w:r>
      <w:r w:rsidRPr="00DE185C">
        <w:rPr>
          <w:rFonts w:ascii="Calibri" w:hAnsi="Calibri"/>
        </w:rPr>
        <w:t xml:space="preserve">of this collective effort </w:t>
      </w:r>
      <w:r w:rsidR="00524127" w:rsidRPr="00DE185C">
        <w:rPr>
          <w:rFonts w:ascii="Calibri" w:hAnsi="Calibri"/>
        </w:rPr>
        <w:t xml:space="preserve">is to develop a comprehensive alternative fuel readiness plan </w:t>
      </w:r>
      <w:r w:rsidRPr="00DE185C">
        <w:rPr>
          <w:rFonts w:ascii="Calibri" w:hAnsi="Calibri"/>
        </w:rPr>
        <w:t>drawing on the</w:t>
      </w:r>
      <w:r w:rsidR="008D09CD" w:rsidRPr="00DE185C">
        <w:rPr>
          <w:rFonts w:ascii="Calibri" w:hAnsi="Calibri"/>
        </w:rPr>
        <w:t xml:space="preserve"> expertise and input of Refuel</w:t>
      </w:r>
      <w:r w:rsidRPr="00DE185C">
        <w:rPr>
          <w:rFonts w:ascii="Calibri" w:hAnsi="Calibri"/>
        </w:rPr>
        <w:t xml:space="preserve">, </w:t>
      </w:r>
      <w:r w:rsidR="004C536C" w:rsidRPr="00DE185C">
        <w:rPr>
          <w:rFonts w:ascii="Calibri" w:hAnsi="Calibri"/>
        </w:rPr>
        <w:t xml:space="preserve">which is </w:t>
      </w:r>
      <w:r w:rsidR="00524127" w:rsidRPr="00DE185C">
        <w:rPr>
          <w:rFonts w:ascii="Calibri" w:hAnsi="Calibri"/>
        </w:rPr>
        <w:t xml:space="preserve">made up of diverse stakeholders </w:t>
      </w:r>
      <w:r w:rsidRPr="00DE185C">
        <w:rPr>
          <w:rFonts w:ascii="Calibri" w:hAnsi="Calibri"/>
        </w:rPr>
        <w:t>from local and regional public agencies, industry, fleet managers, and other interested parties</w:t>
      </w:r>
      <w:r w:rsidR="008B15C9">
        <w:rPr>
          <w:rFonts w:ascii="Calibri" w:hAnsi="Calibri"/>
        </w:rPr>
        <w:t xml:space="preserve"> (full member list is found in Appendix </w:t>
      </w:r>
      <w:r w:rsidR="008C52C1">
        <w:rPr>
          <w:rFonts w:ascii="Calibri" w:hAnsi="Calibri"/>
        </w:rPr>
        <w:t>A</w:t>
      </w:r>
      <w:r w:rsidR="008B15C9">
        <w:rPr>
          <w:rFonts w:ascii="Calibri" w:hAnsi="Calibri"/>
        </w:rPr>
        <w:t>)</w:t>
      </w:r>
      <w:r w:rsidR="008D09CD" w:rsidRPr="00DE185C">
        <w:rPr>
          <w:rFonts w:ascii="Calibri" w:hAnsi="Calibri"/>
        </w:rPr>
        <w:t xml:space="preserve">. </w:t>
      </w:r>
    </w:p>
    <w:p w:rsidR="004242AB" w:rsidRPr="00DE185C" w:rsidRDefault="00524127" w:rsidP="00EE0C47">
      <w:pPr>
        <w:rPr>
          <w:rFonts w:ascii="Calibri" w:hAnsi="Calibri"/>
        </w:rPr>
      </w:pPr>
      <w:r w:rsidRPr="00DE185C">
        <w:rPr>
          <w:rFonts w:ascii="Calibri" w:hAnsi="Calibri"/>
        </w:rPr>
        <w:t xml:space="preserve">The </w:t>
      </w:r>
      <w:r w:rsidR="006D6E2D" w:rsidRPr="00DE185C">
        <w:rPr>
          <w:rFonts w:ascii="Calibri" w:hAnsi="Calibri"/>
        </w:rPr>
        <w:t>Assessment</w:t>
      </w:r>
      <w:r w:rsidRPr="00DE185C">
        <w:rPr>
          <w:rFonts w:ascii="Calibri" w:hAnsi="Calibri"/>
        </w:rPr>
        <w:t xml:space="preserve"> provides a benchmark with which to evaluate the role of alternative fuels, identify </w:t>
      </w:r>
      <w:r w:rsidR="006D6E2D" w:rsidRPr="00DE185C">
        <w:rPr>
          <w:rFonts w:ascii="Calibri" w:hAnsi="Calibri"/>
        </w:rPr>
        <w:t xml:space="preserve">the needs of local </w:t>
      </w:r>
      <w:r w:rsidR="006D6E2D" w:rsidRPr="00D83687">
        <w:rPr>
          <w:rFonts w:ascii="Calibri" w:hAnsi="Calibri"/>
        </w:rPr>
        <w:t>public agencies and fleet</w:t>
      </w:r>
      <w:r w:rsidR="00D83687">
        <w:rPr>
          <w:rFonts w:ascii="Calibri" w:hAnsi="Calibri"/>
        </w:rPr>
        <w:t xml:space="preserve"> managers</w:t>
      </w:r>
      <w:r w:rsidRPr="00DE185C">
        <w:rPr>
          <w:rFonts w:ascii="Calibri" w:hAnsi="Calibri"/>
        </w:rPr>
        <w:t xml:space="preserve">, and </w:t>
      </w:r>
      <w:r w:rsidR="00D83687">
        <w:rPr>
          <w:rFonts w:ascii="Calibri" w:hAnsi="Calibri"/>
        </w:rPr>
        <w:t xml:space="preserve">to </w:t>
      </w:r>
      <w:r w:rsidRPr="00DE185C">
        <w:rPr>
          <w:rFonts w:ascii="Calibri" w:hAnsi="Calibri"/>
        </w:rPr>
        <w:t xml:space="preserve">help prioritize the efforts of the Refuel </w:t>
      </w:r>
      <w:r w:rsidR="00C24C18" w:rsidRPr="00DE185C">
        <w:rPr>
          <w:rFonts w:ascii="Calibri" w:hAnsi="Calibri"/>
        </w:rPr>
        <w:t xml:space="preserve">for the San Diego region. </w:t>
      </w:r>
      <w:r w:rsidR="004242AB" w:rsidRPr="00DE185C">
        <w:rPr>
          <w:rFonts w:ascii="Calibri" w:hAnsi="Calibri"/>
        </w:rPr>
        <w:t xml:space="preserve">Specifically, </w:t>
      </w:r>
      <w:r w:rsidR="004F4A28" w:rsidRPr="00DE185C">
        <w:rPr>
          <w:rFonts w:ascii="Calibri" w:hAnsi="Calibri"/>
        </w:rPr>
        <w:t xml:space="preserve">attention is paid to biodiesel (B20), electricity, ethanol (E85 and flex fuel vehicles), hydrogen, natural gas (compressed natural gas, CNG or liquid natural gas, LNG), and propane (liquefied petroleum gas or </w:t>
      </w:r>
      <w:proofErr w:type="spellStart"/>
      <w:r w:rsidR="004F4A28" w:rsidRPr="00DE185C">
        <w:rPr>
          <w:rFonts w:ascii="Calibri" w:hAnsi="Calibri"/>
        </w:rPr>
        <w:t>autogas</w:t>
      </w:r>
      <w:proofErr w:type="spellEnd"/>
      <w:r w:rsidR="004F4A28" w:rsidRPr="00DE185C">
        <w:rPr>
          <w:rFonts w:ascii="Calibri" w:hAnsi="Calibri"/>
        </w:rPr>
        <w:t xml:space="preserve">, LPG). The Assessment brings awareness to the barriers impeding increased alternative fuel use in the region, which largely </w:t>
      </w:r>
      <w:r w:rsidR="002F74BE">
        <w:rPr>
          <w:rFonts w:ascii="Calibri" w:hAnsi="Calibri"/>
        </w:rPr>
        <w:t>involve</w:t>
      </w:r>
      <w:r w:rsidR="002F74BE" w:rsidRPr="00DE185C">
        <w:rPr>
          <w:rFonts w:ascii="Calibri" w:hAnsi="Calibri"/>
        </w:rPr>
        <w:t xml:space="preserve"> </w:t>
      </w:r>
      <w:r w:rsidR="004F4A28" w:rsidRPr="00DE185C">
        <w:rPr>
          <w:rFonts w:ascii="Calibri" w:hAnsi="Calibri"/>
        </w:rPr>
        <w:t xml:space="preserve">education, alternative fuel infrastructure, and alternative fuel vehicles. </w:t>
      </w:r>
    </w:p>
    <w:p w:rsidR="00524127" w:rsidRPr="00DE185C" w:rsidRDefault="002C46AB" w:rsidP="00524127">
      <w:pPr>
        <w:rPr>
          <w:rFonts w:ascii="Calibri" w:hAnsi="Calibri"/>
        </w:rPr>
      </w:pPr>
      <w:r w:rsidRPr="00DE185C">
        <w:rPr>
          <w:rFonts w:ascii="Calibri" w:hAnsi="Calibri"/>
        </w:rPr>
        <w:t xml:space="preserve">Through the Assessment’s discussion of the alternative fuel landscape, </w:t>
      </w:r>
      <w:r w:rsidR="00C24C18" w:rsidRPr="00DE185C">
        <w:rPr>
          <w:rFonts w:ascii="Calibri" w:hAnsi="Calibri"/>
        </w:rPr>
        <w:t xml:space="preserve">Refuel </w:t>
      </w:r>
      <w:r w:rsidR="00E53EC7">
        <w:rPr>
          <w:rFonts w:ascii="Calibri" w:hAnsi="Calibri"/>
        </w:rPr>
        <w:t xml:space="preserve">will </w:t>
      </w:r>
      <w:r w:rsidR="00C24C18" w:rsidRPr="00DE185C">
        <w:rPr>
          <w:rFonts w:ascii="Calibri" w:hAnsi="Calibri"/>
        </w:rPr>
        <w:t>create a framework for a regional alternative fuel readiness plan</w:t>
      </w:r>
      <w:r w:rsidR="000B1D55">
        <w:rPr>
          <w:rFonts w:ascii="Calibri" w:hAnsi="Calibri"/>
        </w:rPr>
        <w:t>. In particular, Refuel will</w:t>
      </w:r>
      <w:r w:rsidR="00C24C18" w:rsidRPr="00DE185C">
        <w:rPr>
          <w:rFonts w:ascii="Calibri" w:hAnsi="Calibri"/>
        </w:rPr>
        <w:t xml:space="preserve"> help inform the design and functionality of alternative fuel sector-specific toolkits</w:t>
      </w:r>
      <w:r w:rsidR="000B1D55">
        <w:rPr>
          <w:rFonts w:ascii="Calibri" w:hAnsi="Calibri"/>
        </w:rPr>
        <w:t xml:space="preserve">, which are part of the </w:t>
      </w:r>
      <w:r w:rsidR="00B12B29">
        <w:rPr>
          <w:rFonts w:ascii="Calibri" w:hAnsi="Calibri"/>
        </w:rPr>
        <w:t>readiness plan</w:t>
      </w:r>
      <w:r w:rsidR="00C24C18" w:rsidRPr="00DE185C">
        <w:rPr>
          <w:rFonts w:ascii="Calibri" w:hAnsi="Calibri"/>
        </w:rPr>
        <w:t xml:space="preserve">. The toolkits are intended as a reference </w:t>
      </w:r>
      <w:r w:rsidR="008D09CD" w:rsidRPr="00DE185C">
        <w:rPr>
          <w:rFonts w:ascii="Calibri" w:hAnsi="Calibri"/>
        </w:rPr>
        <w:t>guide</w:t>
      </w:r>
      <w:r w:rsidR="00C24C18" w:rsidRPr="00DE185C">
        <w:rPr>
          <w:rFonts w:ascii="Calibri" w:hAnsi="Calibri"/>
        </w:rPr>
        <w:t xml:space="preserve"> for local governments and stakeholders in the region. Each toolkit will vary based on </w:t>
      </w:r>
      <w:r w:rsidR="005D6853">
        <w:rPr>
          <w:rFonts w:ascii="Calibri" w:hAnsi="Calibri"/>
        </w:rPr>
        <w:t xml:space="preserve">the </w:t>
      </w:r>
      <w:r w:rsidR="00C24C18" w:rsidRPr="00DE185C">
        <w:rPr>
          <w:rFonts w:ascii="Calibri" w:hAnsi="Calibri"/>
        </w:rPr>
        <w:t xml:space="preserve">audience </w:t>
      </w:r>
      <w:r w:rsidR="002A57FE" w:rsidRPr="00DE185C">
        <w:rPr>
          <w:rFonts w:ascii="Calibri" w:hAnsi="Calibri"/>
        </w:rPr>
        <w:t xml:space="preserve">using the recommendations set forth in this </w:t>
      </w:r>
      <w:r w:rsidR="00E53EC7">
        <w:rPr>
          <w:rFonts w:ascii="Calibri" w:hAnsi="Calibri"/>
        </w:rPr>
        <w:t>A</w:t>
      </w:r>
      <w:r w:rsidR="002A57FE" w:rsidRPr="00DE185C">
        <w:rPr>
          <w:rFonts w:ascii="Calibri" w:hAnsi="Calibri"/>
        </w:rPr>
        <w:t>ssessment.</w:t>
      </w:r>
    </w:p>
    <w:p w:rsidR="00DE185C" w:rsidRDefault="00DE185C" w:rsidP="00524127">
      <w:pPr>
        <w:pStyle w:val="Heading1"/>
        <w:spacing w:before="240"/>
        <w:rPr>
          <w:rFonts w:ascii="Calibri" w:hAnsi="Calibri"/>
        </w:rPr>
      </w:pPr>
      <w:bookmarkStart w:id="2" w:name="_Toc410636690"/>
    </w:p>
    <w:p w:rsidR="00DE185C" w:rsidRDefault="00DE185C" w:rsidP="00DE185C"/>
    <w:p w:rsidR="00DE185C" w:rsidRPr="00DE185C" w:rsidRDefault="00DE185C" w:rsidP="00DE185C"/>
    <w:p w:rsidR="00524127" w:rsidRPr="00DE185C" w:rsidRDefault="002440D4" w:rsidP="00524127">
      <w:pPr>
        <w:pStyle w:val="Heading1"/>
        <w:spacing w:before="240"/>
        <w:rPr>
          <w:rFonts w:ascii="Calibri" w:hAnsi="Calibri"/>
        </w:rPr>
      </w:pPr>
      <w:bookmarkStart w:id="3" w:name="_Toc416259231"/>
      <w:r w:rsidRPr="00DE185C">
        <w:rPr>
          <w:rFonts w:ascii="Calibri" w:hAnsi="Calibri"/>
        </w:rPr>
        <w:t xml:space="preserve">3. </w:t>
      </w:r>
      <w:r w:rsidR="00524127" w:rsidRPr="00DE185C">
        <w:rPr>
          <w:rFonts w:ascii="Calibri" w:hAnsi="Calibri"/>
        </w:rPr>
        <w:t>P</w:t>
      </w:r>
      <w:r w:rsidR="00002B73">
        <w:rPr>
          <w:rFonts w:ascii="Calibri" w:hAnsi="Calibri"/>
        </w:rPr>
        <w:t>revious</w:t>
      </w:r>
      <w:r w:rsidR="00524127" w:rsidRPr="00DE185C">
        <w:rPr>
          <w:rFonts w:ascii="Calibri" w:hAnsi="Calibri"/>
        </w:rPr>
        <w:t xml:space="preserve"> Regional Alternative Fuel Planning</w:t>
      </w:r>
      <w:bookmarkEnd w:id="2"/>
      <w:r w:rsidR="00002B73">
        <w:rPr>
          <w:rFonts w:ascii="Calibri" w:hAnsi="Calibri"/>
        </w:rPr>
        <w:t xml:space="preserve"> Efforts</w:t>
      </w:r>
      <w:bookmarkEnd w:id="3"/>
    </w:p>
    <w:p w:rsidR="00524127" w:rsidRPr="00DE185C" w:rsidRDefault="00524127" w:rsidP="00524127">
      <w:pPr>
        <w:rPr>
          <w:rFonts w:ascii="Calibri" w:hAnsi="Calibri"/>
        </w:rPr>
      </w:pPr>
      <w:r w:rsidRPr="00DE185C">
        <w:rPr>
          <w:rFonts w:ascii="Calibri" w:hAnsi="Calibri"/>
        </w:rPr>
        <w:t>On-road transportation accounts for 4</w:t>
      </w:r>
      <w:r w:rsidR="006A6036" w:rsidRPr="00DE185C">
        <w:rPr>
          <w:rFonts w:ascii="Calibri" w:hAnsi="Calibri"/>
        </w:rPr>
        <w:t>4</w:t>
      </w:r>
      <w:r w:rsidR="005D6853">
        <w:rPr>
          <w:rFonts w:ascii="Calibri" w:hAnsi="Calibri"/>
        </w:rPr>
        <w:t xml:space="preserve"> percent</w:t>
      </w:r>
      <w:r w:rsidRPr="00DE185C">
        <w:rPr>
          <w:rFonts w:ascii="Calibri" w:hAnsi="Calibri"/>
        </w:rPr>
        <w:t xml:space="preserve"> of the San Diego region’s GHG emissions.</w:t>
      </w:r>
      <w:r w:rsidRPr="00DE185C">
        <w:rPr>
          <w:rStyle w:val="FootnoteReference"/>
          <w:rFonts w:ascii="Calibri" w:hAnsi="Calibri"/>
        </w:rPr>
        <w:footnoteReference w:id="2"/>
      </w:r>
      <w:r w:rsidRPr="00DE185C">
        <w:rPr>
          <w:rFonts w:ascii="Calibri" w:hAnsi="Calibri"/>
        </w:rPr>
        <w:t xml:space="preserve"> In order to </w:t>
      </w:r>
      <w:r w:rsidR="000555D5" w:rsidRPr="00DE185C">
        <w:rPr>
          <w:rFonts w:ascii="Calibri" w:hAnsi="Calibri"/>
        </w:rPr>
        <w:t xml:space="preserve">help the state </w:t>
      </w:r>
      <w:r w:rsidRPr="00DE185C">
        <w:rPr>
          <w:rFonts w:ascii="Calibri" w:hAnsi="Calibri"/>
        </w:rPr>
        <w:t xml:space="preserve">meet the </w:t>
      </w:r>
      <w:r w:rsidR="005D6853">
        <w:rPr>
          <w:rFonts w:ascii="Calibri" w:hAnsi="Calibri"/>
        </w:rPr>
        <w:t>Global Warming Solutions Act (</w:t>
      </w:r>
      <w:r w:rsidRPr="00DE185C">
        <w:rPr>
          <w:rFonts w:ascii="Calibri" w:hAnsi="Calibri"/>
        </w:rPr>
        <w:t>Assembly Bill (AB) 32,</w:t>
      </w:r>
      <w:r w:rsidR="005D6853">
        <w:rPr>
          <w:rFonts w:ascii="Calibri" w:hAnsi="Calibri"/>
        </w:rPr>
        <w:t xml:space="preserve"> Statutes 2006)</w:t>
      </w:r>
      <w:r w:rsidRPr="00DE185C">
        <w:rPr>
          <w:rFonts w:ascii="Calibri" w:hAnsi="Calibri"/>
        </w:rPr>
        <w:t xml:space="preserve"> </w:t>
      </w:r>
      <w:r w:rsidR="00F6793D">
        <w:rPr>
          <w:rFonts w:ascii="Calibri" w:hAnsi="Calibri"/>
        </w:rPr>
        <w:t>targets</w:t>
      </w:r>
      <w:r w:rsidR="008B15C9">
        <w:rPr>
          <w:rFonts w:ascii="Calibri" w:hAnsi="Calibri"/>
        </w:rPr>
        <w:t>,</w:t>
      </w:r>
      <w:r w:rsidR="00F6793D">
        <w:rPr>
          <w:rFonts w:ascii="Calibri" w:hAnsi="Calibri"/>
        </w:rPr>
        <w:t xml:space="preserve"> </w:t>
      </w:r>
      <w:r w:rsidRPr="00DE185C">
        <w:rPr>
          <w:rFonts w:ascii="Calibri" w:hAnsi="Calibri"/>
        </w:rPr>
        <w:t xml:space="preserve">which established a goal to reduce statewide emissions to 1990 levels by the year 2020, the region </w:t>
      </w:r>
      <w:r w:rsidR="005D6853">
        <w:rPr>
          <w:rFonts w:ascii="Calibri" w:hAnsi="Calibri"/>
        </w:rPr>
        <w:t>has proactively taken steps to reduce petroleum usage</w:t>
      </w:r>
      <w:r w:rsidR="005332A3">
        <w:rPr>
          <w:rFonts w:ascii="Calibri" w:hAnsi="Calibri"/>
        </w:rPr>
        <w:t xml:space="preserve"> and provide more fuel choices. </w:t>
      </w:r>
      <w:r w:rsidRPr="00DE185C">
        <w:rPr>
          <w:rFonts w:ascii="Calibri" w:hAnsi="Calibri"/>
        </w:rPr>
        <w:t xml:space="preserve"> The region has completed several projects in </w:t>
      </w:r>
      <w:r w:rsidR="000555D5" w:rsidRPr="00DE185C">
        <w:rPr>
          <w:rFonts w:ascii="Calibri" w:hAnsi="Calibri"/>
        </w:rPr>
        <w:t xml:space="preserve">support of </w:t>
      </w:r>
      <w:r w:rsidRPr="00DE185C">
        <w:rPr>
          <w:rFonts w:ascii="Calibri" w:hAnsi="Calibri"/>
        </w:rPr>
        <w:t xml:space="preserve">this </w:t>
      </w:r>
      <w:r w:rsidR="00985F3A">
        <w:rPr>
          <w:rFonts w:ascii="Calibri" w:hAnsi="Calibri"/>
        </w:rPr>
        <w:t>goal</w:t>
      </w:r>
      <w:r w:rsidRPr="00DE185C">
        <w:rPr>
          <w:rFonts w:ascii="Calibri" w:hAnsi="Calibri"/>
        </w:rPr>
        <w:t xml:space="preserve">. </w:t>
      </w:r>
    </w:p>
    <w:p w:rsidR="00524127" w:rsidRPr="00DE185C" w:rsidRDefault="008F6536"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24288" behindDoc="0" locked="0" layoutInCell="1" allowOverlap="1" wp14:anchorId="54CBB135" wp14:editId="255A1CF7">
                <wp:simplePos x="0" y="0"/>
                <wp:positionH relativeFrom="column">
                  <wp:posOffset>3848100</wp:posOffset>
                </wp:positionH>
                <wp:positionV relativeFrom="paragraph">
                  <wp:posOffset>650240</wp:posOffset>
                </wp:positionV>
                <wp:extent cx="2149475" cy="2181225"/>
                <wp:effectExtent l="0" t="0" r="0" b="0"/>
                <wp:wrapSquare wrapText="bothSides"/>
                <wp:docPr id="290" name="Group 290"/>
                <wp:cNvGraphicFramePr/>
                <a:graphic xmlns:a="http://schemas.openxmlformats.org/drawingml/2006/main">
                  <a:graphicData uri="http://schemas.microsoft.com/office/word/2010/wordprocessingGroup">
                    <wpg:wgp>
                      <wpg:cNvGrpSpPr/>
                      <wpg:grpSpPr>
                        <a:xfrm>
                          <a:off x="0" y="0"/>
                          <a:ext cx="2149475" cy="2181225"/>
                          <a:chOff x="0" y="-226032"/>
                          <a:chExt cx="3137522" cy="1527960"/>
                        </a:xfrm>
                      </wpg:grpSpPr>
                      <wps:wsp>
                        <wps:cNvPr id="291" name="Text Box 2"/>
                        <wps:cNvSpPr txBox="1">
                          <a:spLocks noChangeArrowheads="1"/>
                        </wps:cNvSpPr>
                        <wps:spPr bwMode="auto">
                          <a:xfrm>
                            <a:off x="171038" y="171306"/>
                            <a:ext cx="2966484" cy="1130622"/>
                          </a:xfrm>
                          <a:prstGeom prst="rect">
                            <a:avLst/>
                          </a:prstGeom>
                          <a:noFill/>
                          <a:ln w="9525">
                            <a:noFill/>
                            <a:miter lim="800000"/>
                            <a:headEnd/>
                            <a:tailEnd/>
                          </a:ln>
                        </wps:spPr>
                        <wps:txbx>
                          <w:txbxContent>
                            <w:p w:rsidR="006909BC" w:rsidRPr="00463C43" w:rsidRDefault="006909BC" w:rsidP="006909BC">
                              <w:pPr>
                                <w:pStyle w:val="CVText"/>
                                <w:spacing w:line="240" w:lineRule="auto"/>
                                <w:ind w:right="360"/>
                                <w:jc w:val="center"/>
                                <w:rPr>
                                  <w:i/>
                                  <w:color w:val="005997"/>
                                </w:rPr>
                              </w:pPr>
                              <w:r>
                                <w:rPr>
                                  <w:rFonts w:asciiTheme="minorHAnsi" w:hAnsiTheme="minorHAnsi"/>
                                  <w:b/>
                                  <w:i/>
                                  <w:color w:val="005997"/>
                                  <w:sz w:val="28"/>
                                  <w:szCs w:val="28"/>
                                  <w:lang w:val="en-US"/>
                                </w:rPr>
                                <w:t xml:space="preserve">PEVs now hold one percent of the region’s passenger vehicle market </w:t>
                              </w:r>
                            </w:p>
                          </w:txbxContent>
                        </wps:txbx>
                        <wps:bodyPr rot="0" vert="horz" wrap="square" lIns="91440" tIns="45720" rIns="91440" bIns="45720" anchor="t" anchorCtr="0">
                          <a:noAutofit/>
                        </wps:bodyPr>
                      </wps:wsp>
                      <pic:pic xmlns:pic="http://schemas.openxmlformats.org/drawingml/2006/picture">
                        <pic:nvPicPr>
                          <pic:cNvPr id="292" name="Picture 8" descr="3mm_Frame_CV_19April2010-01_Top.png"/>
                          <pic:cNvPicPr>
                            <a:picLocks noChangeAspect="1"/>
                          </pic:cNvPicPr>
                        </pic:nvPicPr>
                        <pic:blipFill rotWithShape="1">
                          <a:blip r:embed="rId14"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226032"/>
                            <a:ext cx="3062175"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3" name="Picture 8" descr="3mm_Frame_CV_19April2010-01_Top.png"/>
                          <pic:cNvPicPr>
                            <a:picLocks noChangeAspect="1"/>
                          </pic:cNvPicPr>
                        </pic:nvPicPr>
                        <pic:blipFill rotWithShape="1">
                          <a:blip r:embed="rId15"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820492"/>
                            <a:ext cx="3051545"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90" o:spid="_x0000_s1027" style="position:absolute;margin-left:303pt;margin-top:51.2pt;width:169.25pt;height:171.75pt;z-index:251724288;mso-width-relative:margin;mso-height-relative:margin" coordorigin=",-2260" coordsize="31375,15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kbgwQQAAOgOAAAOAAAAZHJzL2Uyb0RvYy54bWzsV99v2zYQfh+w/0HQ&#10;u2JJ1g9biFM4tlMU6NZgzbbHgKZoi6gkciQdORv2v++OlJTEybCiDfaUAJGPpHi8++7uO+r83bGp&#10;vTumNBftwo/OQt9jLRUlb/cL/9ebq2Dme9qQtiS1aNnCv2faf3fx4w/nnSxYLCpRl0x5oKTVRScX&#10;fmWMLCYTTSvWEH0mJGthcSdUQwwM1X5SKtKB9qaexGGYTTqhSqkEZVrD7Not+hdW/27HqPm022lm&#10;vHrhg23GPpV9bvE5uTgnxV4RWXHam0G+wYqG8BYOHVWtiSHeQfFnqhpOldBiZ86oaCZit+OUWR/A&#10;myg88ea9EgdpfdkX3V6OMAG0Jzh9s1r689218ni58OM54NOSBoJkz/VwAuDp5L6At94r+Vleq35i&#10;70bo8XGnGvwFX7yjBfZ+BJYdjUdhMo6SeZKnvkdhLY5mURynDnpaQXwe9gVxnIXTeFjb9Pun0TRP&#10;49jtj9I4n2fWtslw/AStHI3qJCSTfsBLfx9enysimQ2DRiRGvKIBrxv081IcPWs4ng6vIVqeOcI0&#10;1IXNDS0/CvpFe61YVaTds6VSoqsYKcG+CF0GL8atCLwuNCrZdj+JEsJCDkZYRSeQR3kUTqHOAFsQ&#10;p2Hm4BvBn2dZMkt68HAdkMTTBvBIIZU275loPBQWvoKysQeRu4/auFeHVzDUrbjidQ3zpKhbr1v4&#10;8xTiebLScAOVXfNm4c9C/HNWob+btrSbDeG1k8GWuu0BQJ+d9+a4PdrctOggHltR3gMiSrhCBuIB&#10;oRLqT9/roIgXvv7jQBTzvfpDC6jOoyTBqreDJM1jGKjHK9vHK6SloGrhG99z4spYpnCOLQH9Hbdo&#10;PFjSmwzJdnEuOS3gv69SkJ5l3X+zGewyB7TfMWLzVToaor4cZACEIonhW15zc2/JEUKCRrV315wi&#10;pjh4nMBQUK7gYR2P9SCJSqYpeD1tmtsrBWxwu/rtNpovpeI1MlQQRrc3Qp7Jdo/xHDQ6/ZBInJ7k&#10;uJaQTEN+P319gsMnxm1rLjG1MMC/c1PZyhvKBxd7XMDAEwJ8AVpHrmtBDw1rjesWitUAkWh1xaWG&#10;XChYs2UlZPyHEqqZQqcyUGjgbOsKoDwIA30LM8C2JLaqlXdHoJkQSkGry3pdkZK56SQdM10TA3Xr&#10;pqPpMA+ZPmpCtVhXo9KugqLpa/PR0VDJUIf4Nta0bSt/xbNlGM7jy2CVhqsgCfNNsASODfJwkydh&#10;MotW0epvrMkoKQ6aQVRIvZa8BxBmn0H4Yg/pu63rTrbLOYcG+gWDLJMMJoJ7GCcLmKK/QOyx88YJ&#10;0A9kQZDmeY41CGKUQfptF36SZz1haaOYoRXyDWbGkAwuy76KCUE1kOCTJoKIYQtC2ouGFpQkWZrl&#10;r0iC6O/Iij2Z2Wg9i1s6zRKIWxYsl+s8SJL1LLi8BGm12syTaZQl6WaMG+aV6D5tNYXiLL8/dIis&#10;tWr4tdZZsB3pWhGwd5CD0J8J0rN0eaHiTq5msOt/JLPpG5k9kBleld7I7PSe/TpkFmR4U37KZnn+&#10;SmTmrjZR2F+ZkFeeXKxncZjM+/vxA7WlUZr0t+s3anMU9+/UZr8V4HPKkmD/6Yffa4/HID/+QL34&#10;B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uMDVJOEAAAALAQAA&#10;DwAAAGRycy9kb3ducmV2LnhtbEyPQUvDQBCF74L/YRnBm92kpsHGbEop6qkItkLpbZqdJqHZ3ZDd&#10;Jum/dzzpaXi8x5vv5avJtGKg3jfOKohnEQiypdONrRR879+fXkD4gFZj6ywpuJGHVXF/l2Om3Wi/&#10;aNiFSnCJ9RkqqEPoMil9WZNBP3MdWfbOrjcYWPaV1D2OXG5aOY+iVBpsLH+osaNNTeVldzUKPkYc&#10;18/x27C9nDe3437xedjGpNTjw7R+BRFoCn9h+MVndCiY6eSuVnvRKkijlLcENqJ5AoITyyRZgDgp&#10;4LsEWeTy/4biBwAA//8DAFBLAwQKAAAAAAAAACEA6jqpDq4BAACuAQAAFAAAAGRycy9tZWRpYS9p&#10;bWFnZTEucG5niVBORw0KGgoAAAANSUhEUgAAAggAAAA9CAIAAABHtgYDAAAAAXNSR0IArs4c6QAA&#10;AARnQU1BAACxjwv8YQUAAAAJcEhZcwAAIdUAACHVAQSctJ0AAAFDSURBVHhe7dctcsJgGEZR9r8Q&#10;9lAfFc9gUSAwTDU/pU1ErwrUZXqO+Uwe+97JZgsA2+3xeHz8EAYAvgkDACEMAIQwABDCAEAIAwAh&#10;DACEMAAQwgBACAMAIQwAhDAAEMIAQAgDACEMAIQwABDCAEAIAwAhDADE22EYhuFyuXwCsCr7/X6+&#10;40veDsM4jtfrddoAsBaHw2G+40uEAeBfEAYAQhgACGEAIIQBgBAGAEIYAAhhACCEAYAQBgBCGAAI&#10;YQAghAGAEAYAQhgACGEAIIQBgBAGAEIYAAhhACCEAYAQBgBCGAAIYQAghAGAEAYAQhgACGEAIIQB&#10;gBAGAEIYAAhhACCEAYD4Sxg+XrPb7W6327QBYC1Op9N8x5ecz+dpsnn+B7xCFQDW6H6/z3d8yfPL&#10;abKZHgCYCAMAIQwAhDAA8Mvj8QW+NOwJH/VpEAAAAABJRU5ErkJgglBLAwQKAAAAAAAAACEA33Zr&#10;JaIBAACiAQAAFAAAAGRycy9tZWRpYS9pbWFnZTIucG5niVBORw0KGgoAAAANSUhEUgAAAgYAAAA9&#10;CAIAAABZfzawAAAAAXNSR0IArs4c6QAAAARnQU1BAACxjwv8YQUAAAAJcEhZcwAAIdUAACHVAQSc&#10;tJ0AAAE3SURBVHhe7dYhcsJgGEVR9r+Q7qE7iMIzg40Bw1QnpAy5PlAF5Rzzm3z23ey+APhs4zgu&#10;d5IA8OkkAYBIAgCRBAAiCQBEEgCIJAAQSQAgkgBAJAGASAIAkQQAIgkARBIAiCQAEEkAIJIAQCQB&#10;gEgCAHk6CcMwXC6XHwDexPF4bMG3PJ2E/X4/TdN6A8Druw19C75FEgD+OUkAIJIAQCQBgEgCAJEE&#10;ACIJAEQSAIgkABBJACCSAEAkAYBIAgCRBAAiCQBEEgCIJAAQSQAgkgBAJAGASAIAkQQAIgkARBIA&#10;iCQAEEkAIJIAQCQBgEgCAJEEACIJAEQSAIgkAJC/JOH7MYfDYZ7n9QaA13c+n1vwLafTaT3Z3f79&#10;H6EHAO/ler224FtuX64nu/UBAEkAIJIAQCQBgLtl+QXYBKyPyt5lRAAAAABJRU5ErkJgglBLAQIt&#10;ABQABgAIAAAAIQCxgme2CgEAABMCAAATAAAAAAAAAAAAAAAAAAAAAABbQ29udGVudF9UeXBlc10u&#10;eG1sUEsBAi0AFAAGAAgAAAAhADj9If/WAAAAlAEAAAsAAAAAAAAAAAAAAAAAOwEAAF9yZWxzLy5y&#10;ZWxzUEsBAi0AFAAGAAgAAAAhAIBaRuDBBAAA6A4AAA4AAAAAAAAAAAAAAAAAOgIAAGRycy9lMm9E&#10;b2MueG1sUEsBAi0AFAAGAAgAAAAhAC5s8ADFAAAApQEAABkAAAAAAAAAAAAAAAAAJwcAAGRycy9f&#10;cmVscy9lMm9Eb2MueG1sLnJlbHNQSwECLQAUAAYACAAAACEAuMDVJOEAAAALAQAADwAAAAAAAAAA&#10;AAAAAAAjCAAAZHJzL2Rvd25yZXYueG1sUEsBAi0ACgAAAAAAAAAhAOo6qQ6uAQAArgEAABQAAAAA&#10;AAAAAAAAAAAAMQkAAGRycy9tZWRpYS9pbWFnZTEucG5nUEsBAi0ACgAAAAAAAAAhAN92ayWiAQAA&#10;ogEAABQAAAAAAAAAAAAAAAAAEQsAAGRycy9tZWRpYS9pbWFnZTIucG5nUEsFBgAAAAAHAAcAvgEA&#10;AOUMAAAAAA==&#10;">
                <v:shape id="_x0000_s1028" type="#_x0000_t202" style="position:absolute;left:1710;top:1713;width:29665;height:1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6909BC" w:rsidRPr="00463C43" w:rsidRDefault="006909BC" w:rsidP="006909BC">
                        <w:pPr>
                          <w:pStyle w:val="CVText"/>
                          <w:spacing w:line="240" w:lineRule="auto"/>
                          <w:ind w:right="360"/>
                          <w:jc w:val="center"/>
                          <w:rPr>
                            <w:i/>
                            <w:color w:val="005997"/>
                          </w:rPr>
                        </w:pPr>
                        <w:r>
                          <w:rPr>
                            <w:rFonts w:asciiTheme="minorHAnsi" w:hAnsiTheme="minorHAnsi"/>
                            <w:b/>
                            <w:i/>
                            <w:color w:val="005997"/>
                            <w:sz w:val="28"/>
                            <w:szCs w:val="28"/>
                            <w:lang w:val="en-US"/>
                          </w:rPr>
                          <w:t xml:space="preserve">PEVs now hold one percent of the region’s passenger vehicle market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3mm_Frame_CV_19April2010-01_Top.png" style="position:absolute;top:-2260;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AfXfFAAAA3AAAAA8AAABkcnMvZG93bnJldi54bWxEj0FrwkAUhO8F/8PyCr3VTXMoNrpKsRQU&#10;sVCjYG7P7Osmmn0bsqum/75bEDwOM/MNM5n1thEX6nztWMHLMAFBXDpds1GwzT+fRyB8QNbYOCYF&#10;v+RhNh08TDDT7srfdNkEIyKEfYYKqhDaTEpfVmTRD11LHL0f11kMUXZG6g6vEW4bmSbJq7RYc1yo&#10;sKV5ReVpc7YKVr1s90UejPw44rrYNUtz+CqUenrs38cgAvXhHr61F1pB+pbC/5l4BOT0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AH13xQAAANwAAAAPAAAAAAAAAAAAAAAA&#10;AJ8CAABkcnMvZG93bnJldi54bWxQSwUGAAAAAAQABAD3AAAAkQMAAAAA&#10;">
                  <v:imagedata r:id="rId16" o:title="3mm_Frame_CV_19April2010-01_Top" croptop="-37860f" cropbottom="3123f" cropleft="160f" cropright="-106f" recolortarget="#1d4f5c [1448]"/>
                  <v:path arrowok="t"/>
                </v:shape>
                <v:shape id="Picture 8" o:spid="_x0000_s1030" type="#_x0000_t75" alt="3mm_Frame_CV_19April2010-01_Top.png" style="position:absolute;top:8204;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lxp/CAAAA3AAAAA8AAABkcnMvZG93bnJldi54bWxEj0GLwjAUhO8L/ofwBC+LpnVZ0WqUsCB4&#10;2MuqP+DRPNvS5qU0MXb/vREW9jjMzDfM7jDaTkQafONYQb7IQBCXzjRcKbhejvM1CB+QDXaOScEv&#10;eTjsJ287LIx78A/Fc6hEgrAvUEEdQl9I6cuaLPqF64mTd3ODxZDkUEkz4CPBbSeXWbaSFhtOCzX2&#10;9FVT2Z7vVkH7jnnU+SVmUZP8bK12x2+t1Gw66i2IQGP4D/+1T0bBcvMBrzPpCMj9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ZcafwgAAANwAAAAPAAAAAAAAAAAAAAAAAJ8C&#10;AABkcnMvZG93bnJldi54bWxQSwUGAAAAAAQABAD3AAAAjgMAAAAA&#10;">
                  <v:imagedata r:id="rId17" o:title="3mm_Frame_CV_19April2010-01_Top" croptop="-37860f" cropbottom="3123f" cropleft="-452f" cropright="506f" recolortarget="#1d4f5c [1448]"/>
                  <v:path arrowok="t"/>
                </v:shape>
                <w10:wrap type="square"/>
              </v:group>
            </w:pict>
          </mc:Fallback>
        </mc:AlternateContent>
      </w:r>
      <w:r w:rsidR="00524127" w:rsidRPr="00DE185C">
        <w:rPr>
          <w:rFonts w:ascii="Calibri" w:hAnsi="Calibri"/>
        </w:rPr>
        <w:t xml:space="preserve">In an early effort to address the increasing </w:t>
      </w:r>
      <w:r w:rsidR="00BC1236" w:rsidRPr="00DE185C">
        <w:rPr>
          <w:rFonts w:ascii="Calibri" w:hAnsi="Calibri"/>
        </w:rPr>
        <w:t xml:space="preserve">desire </w:t>
      </w:r>
      <w:r w:rsidR="00524127" w:rsidRPr="00DE185C">
        <w:rPr>
          <w:rFonts w:ascii="Calibri" w:hAnsi="Calibri"/>
        </w:rPr>
        <w:t xml:space="preserve">to use alternative fuels, SANDAG drafted </w:t>
      </w:r>
      <w:r w:rsidR="00512258">
        <w:rPr>
          <w:rFonts w:ascii="Calibri" w:hAnsi="Calibri"/>
        </w:rPr>
        <w:t>the</w:t>
      </w:r>
      <w:r w:rsidR="00512258" w:rsidRPr="00DE185C">
        <w:rPr>
          <w:rFonts w:ascii="Calibri" w:hAnsi="Calibri"/>
        </w:rPr>
        <w:t xml:space="preserve"> </w:t>
      </w:r>
      <w:r w:rsidR="00524127" w:rsidRPr="00DE185C">
        <w:rPr>
          <w:rFonts w:ascii="Calibri" w:hAnsi="Calibri"/>
        </w:rPr>
        <w:t>Alternative Fuel Vehicle and Infrastructure Report in 2009</w:t>
      </w:r>
      <w:r w:rsidR="00BC1236" w:rsidRPr="00DE185C">
        <w:rPr>
          <w:rFonts w:ascii="Calibri" w:hAnsi="Calibri"/>
        </w:rPr>
        <w:t xml:space="preserve"> (2009 Report)</w:t>
      </w:r>
      <w:r w:rsidR="00524127" w:rsidRPr="00DE185C">
        <w:rPr>
          <w:rFonts w:ascii="Calibri" w:hAnsi="Calibri"/>
        </w:rPr>
        <w:t>. Th</w:t>
      </w:r>
      <w:r w:rsidR="000D22F4" w:rsidRPr="00DE185C">
        <w:rPr>
          <w:rFonts w:ascii="Calibri" w:hAnsi="Calibri"/>
        </w:rPr>
        <w:t>e</w:t>
      </w:r>
      <w:r w:rsidR="00524127" w:rsidRPr="00DE185C">
        <w:rPr>
          <w:rFonts w:ascii="Calibri" w:hAnsi="Calibri"/>
        </w:rPr>
        <w:t xml:space="preserve"> </w:t>
      </w:r>
      <w:r w:rsidR="00BC1236" w:rsidRPr="00DE185C">
        <w:rPr>
          <w:rFonts w:ascii="Calibri" w:hAnsi="Calibri"/>
        </w:rPr>
        <w:t xml:space="preserve">2009 Report </w:t>
      </w:r>
      <w:r w:rsidR="00524127" w:rsidRPr="00DE185C">
        <w:rPr>
          <w:rFonts w:ascii="Calibri" w:hAnsi="Calibri"/>
        </w:rPr>
        <w:t>provided an overview of alternative fuel infrastructure in the San Diego region</w:t>
      </w:r>
      <w:r w:rsidR="005332A3">
        <w:rPr>
          <w:rFonts w:ascii="Calibri" w:hAnsi="Calibri"/>
        </w:rPr>
        <w:t>,</w:t>
      </w:r>
      <w:r w:rsidR="00524127" w:rsidRPr="00DE185C">
        <w:rPr>
          <w:rFonts w:ascii="Calibri" w:hAnsi="Calibri"/>
        </w:rPr>
        <w:t xml:space="preserve"> presented recommendations for local governments to integrate alternative fuels into their fleets, </w:t>
      </w:r>
      <w:r w:rsidR="00364B80" w:rsidRPr="00DE185C">
        <w:rPr>
          <w:rFonts w:ascii="Calibri" w:hAnsi="Calibri"/>
        </w:rPr>
        <w:t>and</w:t>
      </w:r>
      <w:r w:rsidR="00524127" w:rsidRPr="00DE185C">
        <w:rPr>
          <w:rFonts w:ascii="Calibri" w:hAnsi="Calibri"/>
        </w:rPr>
        <w:t xml:space="preserve"> encourage</w:t>
      </w:r>
      <w:r w:rsidR="00BC1236" w:rsidRPr="00DE185C">
        <w:rPr>
          <w:rFonts w:ascii="Calibri" w:hAnsi="Calibri"/>
        </w:rPr>
        <w:t>d</w:t>
      </w:r>
      <w:r w:rsidR="00524127" w:rsidRPr="00DE185C">
        <w:rPr>
          <w:rFonts w:ascii="Calibri" w:hAnsi="Calibri"/>
        </w:rPr>
        <w:t xml:space="preserve"> local governments to support the greater </w:t>
      </w:r>
      <w:r w:rsidR="00BC1236" w:rsidRPr="00DE185C">
        <w:rPr>
          <w:rFonts w:ascii="Calibri" w:hAnsi="Calibri"/>
        </w:rPr>
        <w:t xml:space="preserve">deployment </w:t>
      </w:r>
      <w:r w:rsidR="00524127" w:rsidRPr="00DE185C">
        <w:rPr>
          <w:rFonts w:ascii="Calibri" w:hAnsi="Calibri"/>
        </w:rPr>
        <w:t>of these vehicles</w:t>
      </w:r>
      <w:r w:rsidR="00364B80" w:rsidRPr="00DE185C">
        <w:rPr>
          <w:rFonts w:ascii="Calibri" w:hAnsi="Calibri"/>
        </w:rPr>
        <w:t>.</w:t>
      </w:r>
      <w:r w:rsidR="00524127" w:rsidRPr="00DE185C">
        <w:rPr>
          <w:rFonts w:ascii="Calibri" w:hAnsi="Calibri"/>
        </w:rPr>
        <w:t xml:space="preserve"> </w:t>
      </w:r>
      <w:r w:rsidR="00364B80" w:rsidRPr="00DE185C">
        <w:rPr>
          <w:rFonts w:ascii="Calibri" w:hAnsi="Calibri"/>
        </w:rPr>
        <w:t xml:space="preserve">This </w:t>
      </w:r>
      <w:r w:rsidR="00B14BB3">
        <w:rPr>
          <w:rFonts w:ascii="Calibri" w:hAnsi="Calibri"/>
        </w:rPr>
        <w:t>A</w:t>
      </w:r>
      <w:r w:rsidR="00FA1180" w:rsidRPr="00DE185C">
        <w:rPr>
          <w:rFonts w:ascii="Calibri" w:hAnsi="Calibri"/>
        </w:rPr>
        <w:t>ssessment</w:t>
      </w:r>
      <w:r w:rsidR="00524127" w:rsidRPr="00DE185C">
        <w:rPr>
          <w:rFonts w:ascii="Calibri" w:hAnsi="Calibri"/>
        </w:rPr>
        <w:t xml:space="preserve"> act</w:t>
      </w:r>
      <w:r w:rsidR="00364B80" w:rsidRPr="00DE185C">
        <w:rPr>
          <w:rFonts w:ascii="Calibri" w:hAnsi="Calibri"/>
        </w:rPr>
        <w:t xml:space="preserve">s </w:t>
      </w:r>
      <w:r w:rsidR="00524127" w:rsidRPr="00DE185C">
        <w:rPr>
          <w:rFonts w:ascii="Calibri" w:hAnsi="Calibri"/>
        </w:rPr>
        <w:t xml:space="preserve">as an update to the 2009 </w:t>
      </w:r>
      <w:r w:rsidR="00BC1236" w:rsidRPr="00DE185C">
        <w:rPr>
          <w:rFonts w:ascii="Calibri" w:hAnsi="Calibri"/>
        </w:rPr>
        <w:t>Report</w:t>
      </w:r>
      <w:r w:rsidR="00524127" w:rsidRPr="00DE185C">
        <w:rPr>
          <w:rFonts w:ascii="Calibri" w:hAnsi="Calibri"/>
        </w:rPr>
        <w:t xml:space="preserve">. </w:t>
      </w:r>
    </w:p>
    <w:p w:rsidR="00B04BE0" w:rsidRPr="00B04BE0" w:rsidRDefault="00B04BE0" w:rsidP="00B04BE0">
      <w:pPr>
        <w:rPr>
          <w:rFonts w:ascii="Calibri" w:hAnsi="Calibri"/>
        </w:rPr>
      </w:pPr>
      <w:r w:rsidRPr="00B04BE0">
        <w:rPr>
          <w:rFonts w:ascii="Calibri" w:hAnsi="Calibri"/>
        </w:rPr>
        <w:t>As the 2009 Report was wrapping up, both SDG&amp;E and SANDAG entered into Memorandums of Understanding (MOUs) with Nissan North America pledging to support making the San Diego region one of the first plug-in ready regions in the nation. As part of this effort, local outreach events were held and the San Diego region was selected to be one of the first five metropolitan areas in the United States for the introduction of PEVs through the EV Project</w:t>
      </w:r>
      <w:r>
        <w:rPr>
          <w:rFonts w:ascii="Calibri" w:hAnsi="Calibri"/>
        </w:rPr>
        <w:t xml:space="preserve"> (see more in </w:t>
      </w:r>
      <w:r>
        <w:rPr>
          <w:rFonts w:ascii="Calibri" w:hAnsi="Calibri"/>
          <w:i/>
        </w:rPr>
        <w:t>Alternative Fuel Investments</w:t>
      </w:r>
      <w:r>
        <w:rPr>
          <w:rFonts w:ascii="Calibri" w:hAnsi="Calibri"/>
        </w:rPr>
        <w:t>)</w:t>
      </w:r>
      <w:r w:rsidRPr="00B04BE0">
        <w:rPr>
          <w:rFonts w:ascii="Calibri" w:hAnsi="Calibri"/>
        </w:rPr>
        <w:t xml:space="preserve">.  </w:t>
      </w:r>
    </w:p>
    <w:p w:rsidR="00524127" w:rsidRPr="00DE185C" w:rsidRDefault="00524127" w:rsidP="00524127">
      <w:pPr>
        <w:rPr>
          <w:rFonts w:ascii="Calibri" w:hAnsi="Calibri"/>
        </w:rPr>
      </w:pPr>
      <w:r w:rsidRPr="00DE185C">
        <w:rPr>
          <w:rFonts w:ascii="Calibri" w:hAnsi="Calibri"/>
        </w:rPr>
        <w:t>The Center for Sustainable Energy</w:t>
      </w:r>
      <w:r w:rsidR="004F27D2" w:rsidRPr="00DE185C">
        <w:rPr>
          <w:rFonts w:ascii="Calibri" w:hAnsi="Calibri"/>
        </w:rPr>
        <w:t xml:space="preserve"> (CSE)</w:t>
      </w:r>
      <w:r w:rsidRPr="00DE185C">
        <w:rPr>
          <w:rFonts w:ascii="Calibri" w:hAnsi="Calibri"/>
        </w:rPr>
        <w:t xml:space="preserve"> conducted the fi</w:t>
      </w:r>
      <w:r w:rsidR="008D09CD" w:rsidRPr="00DE185C">
        <w:rPr>
          <w:rFonts w:ascii="Calibri" w:hAnsi="Calibri"/>
        </w:rPr>
        <w:t>rst baseline assessment of the P</w:t>
      </w:r>
      <w:r w:rsidRPr="00DE185C">
        <w:rPr>
          <w:rFonts w:ascii="Calibri" w:hAnsi="Calibri"/>
        </w:rPr>
        <w:t xml:space="preserve">EV landscape in San Diego, funded by a </w:t>
      </w:r>
      <w:r w:rsidR="00364B80" w:rsidRPr="00DE185C">
        <w:rPr>
          <w:rFonts w:ascii="Calibri" w:hAnsi="Calibri"/>
        </w:rPr>
        <w:t xml:space="preserve">U.S. </w:t>
      </w:r>
      <w:r w:rsidRPr="00DE185C">
        <w:rPr>
          <w:rFonts w:ascii="Calibri" w:hAnsi="Calibri"/>
        </w:rPr>
        <w:t>Department of Energy (DOE) grant in 2012. Th</w:t>
      </w:r>
      <w:r w:rsidR="00F84482" w:rsidRPr="00DE185C">
        <w:rPr>
          <w:rFonts w:ascii="Calibri" w:hAnsi="Calibri"/>
        </w:rPr>
        <w:t>is</w:t>
      </w:r>
      <w:r w:rsidRPr="00DE185C">
        <w:rPr>
          <w:rFonts w:ascii="Calibri" w:hAnsi="Calibri"/>
        </w:rPr>
        <w:t xml:space="preserve"> </w:t>
      </w:r>
      <w:r w:rsidR="00F84482" w:rsidRPr="00DE185C">
        <w:rPr>
          <w:rFonts w:ascii="Calibri" w:hAnsi="Calibri"/>
        </w:rPr>
        <w:t xml:space="preserve">baseline </w:t>
      </w:r>
      <w:r w:rsidRPr="00DE185C">
        <w:rPr>
          <w:rFonts w:ascii="Calibri" w:hAnsi="Calibri"/>
        </w:rPr>
        <w:t>assessment include</w:t>
      </w:r>
      <w:r w:rsidR="00F84482" w:rsidRPr="00DE185C">
        <w:rPr>
          <w:rFonts w:ascii="Calibri" w:hAnsi="Calibri"/>
        </w:rPr>
        <w:t>d</w:t>
      </w:r>
      <w:r w:rsidRPr="00DE185C">
        <w:rPr>
          <w:rFonts w:ascii="Calibri" w:hAnsi="Calibri"/>
        </w:rPr>
        <w:t xml:space="preserve"> the results of surveys given to local governments to determine whether </w:t>
      </w:r>
      <w:r w:rsidR="00F84482" w:rsidRPr="00DE185C">
        <w:rPr>
          <w:rFonts w:ascii="Calibri" w:hAnsi="Calibri"/>
        </w:rPr>
        <w:t>the</w:t>
      </w:r>
      <w:r w:rsidR="00A973EE">
        <w:rPr>
          <w:rFonts w:ascii="Calibri" w:hAnsi="Calibri"/>
        </w:rPr>
        <w:t>ir</w:t>
      </w:r>
      <w:r w:rsidR="00F84482" w:rsidRPr="00DE185C">
        <w:rPr>
          <w:rFonts w:ascii="Calibri" w:hAnsi="Calibri"/>
        </w:rPr>
        <w:t xml:space="preserve"> </w:t>
      </w:r>
      <w:r w:rsidRPr="00DE185C">
        <w:rPr>
          <w:rFonts w:ascii="Calibri" w:hAnsi="Calibri"/>
        </w:rPr>
        <w:t xml:space="preserve">existing permit </w:t>
      </w:r>
      <w:r w:rsidR="002A46E7" w:rsidRPr="00DE185C">
        <w:rPr>
          <w:rFonts w:ascii="Calibri" w:hAnsi="Calibri"/>
        </w:rPr>
        <w:t xml:space="preserve">processes </w:t>
      </w:r>
      <w:r w:rsidRPr="00DE185C">
        <w:rPr>
          <w:rFonts w:ascii="Calibri" w:hAnsi="Calibri"/>
        </w:rPr>
        <w:t>and building codes support</w:t>
      </w:r>
      <w:r w:rsidR="00F84482" w:rsidRPr="00DE185C">
        <w:rPr>
          <w:rFonts w:ascii="Calibri" w:hAnsi="Calibri"/>
        </w:rPr>
        <w:t>ed</w:t>
      </w:r>
      <w:r w:rsidRPr="00DE185C">
        <w:rPr>
          <w:rFonts w:ascii="Calibri" w:hAnsi="Calibri"/>
        </w:rPr>
        <w:t xml:space="preserve"> </w:t>
      </w:r>
      <w:r w:rsidR="008D09CD" w:rsidRPr="00DE185C">
        <w:rPr>
          <w:rFonts w:ascii="Calibri" w:hAnsi="Calibri"/>
        </w:rPr>
        <w:t>PEV</w:t>
      </w:r>
      <w:r w:rsidRPr="00DE185C">
        <w:rPr>
          <w:rFonts w:ascii="Calibri" w:hAnsi="Calibri"/>
        </w:rPr>
        <w:t xml:space="preserve"> growth. </w:t>
      </w:r>
    </w:p>
    <w:p w:rsidR="00524127" w:rsidRPr="00DE185C" w:rsidRDefault="00524127" w:rsidP="00524127">
      <w:pPr>
        <w:rPr>
          <w:rFonts w:ascii="Calibri" w:hAnsi="Calibri"/>
        </w:rPr>
      </w:pPr>
      <w:r w:rsidRPr="00DE185C">
        <w:rPr>
          <w:rFonts w:ascii="Calibri" w:hAnsi="Calibri"/>
        </w:rPr>
        <w:t>In 2012, the Energy Commiss</w:t>
      </w:r>
      <w:r w:rsidR="007353E6" w:rsidRPr="00DE185C">
        <w:rPr>
          <w:rFonts w:ascii="Calibri" w:hAnsi="Calibri"/>
        </w:rPr>
        <w:t xml:space="preserve">ion </w:t>
      </w:r>
      <w:r w:rsidRPr="00DE185C">
        <w:rPr>
          <w:rFonts w:ascii="Calibri" w:hAnsi="Calibri"/>
        </w:rPr>
        <w:t xml:space="preserve">awarded SANDAG </w:t>
      </w:r>
      <w:r w:rsidR="002A46E7" w:rsidRPr="00DE185C">
        <w:rPr>
          <w:rFonts w:ascii="Calibri" w:hAnsi="Calibri"/>
        </w:rPr>
        <w:t xml:space="preserve">funding </w:t>
      </w:r>
      <w:r w:rsidRPr="00DE185C">
        <w:rPr>
          <w:rFonts w:ascii="Calibri" w:hAnsi="Calibri"/>
        </w:rPr>
        <w:t xml:space="preserve">to plan for the growth of </w:t>
      </w:r>
      <w:r w:rsidR="002A46E7" w:rsidRPr="00DE185C">
        <w:rPr>
          <w:rFonts w:ascii="Calibri" w:hAnsi="Calibri"/>
        </w:rPr>
        <w:t xml:space="preserve">PEVs </w:t>
      </w:r>
      <w:r w:rsidRPr="00DE185C">
        <w:rPr>
          <w:rFonts w:ascii="Calibri" w:hAnsi="Calibri"/>
        </w:rPr>
        <w:t>in the San Diego region. This fund</w:t>
      </w:r>
      <w:r w:rsidR="002A46E7" w:rsidRPr="00DE185C">
        <w:rPr>
          <w:rFonts w:ascii="Calibri" w:hAnsi="Calibri"/>
        </w:rPr>
        <w:t>ing</w:t>
      </w:r>
      <w:r w:rsidRPr="00DE185C">
        <w:rPr>
          <w:rFonts w:ascii="Calibri" w:hAnsi="Calibri"/>
        </w:rPr>
        <w:t xml:space="preserve"> </w:t>
      </w:r>
      <w:r w:rsidR="002A46E7" w:rsidRPr="00DE185C">
        <w:rPr>
          <w:rFonts w:ascii="Calibri" w:hAnsi="Calibri"/>
        </w:rPr>
        <w:t xml:space="preserve">established </w:t>
      </w:r>
      <w:r w:rsidRPr="00DE185C">
        <w:rPr>
          <w:rFonts w:ascii="Calibri" w:hAnsi="Calibri"/>
        </w:rPr>
        <w:t xml:space="preserve">the </w:t>
      </w:r>
      <w:r w:rsidR="005332A3">
        <w:rPr>
          <w:rFonts w:ascii="Calibri" w:hAnsi="Calibri"/>
        </w:rPr>
        <w:t>PEV</w:t>
      </w:r>
      <w:r w:rsidRPr="00DE185C">
        <w:rPr>
          <w:rFonts w:ascii="Calibri" w:hAnsi="Calibri"/>
        </w:rPr>
        <w:t xml:space="preserve"> coordinating council, named the </w:t>
      </w:r>
      <w:r w:rsidR="002A46E7" w:rsidRPr="00DE185C">
        <w:rPr>
          <w:rFonts w:ascii="Calibri" w:hAnsi="Calibri"/>
        </w:rPr>
        <w:t xml:space="preserve">San Diego </w:t>
      </w:r>
      <w:r w:rsidRPr="00DE185C">
        <w:rPr>
          <w:rFonts w:ascii="Calibri" w:hAnsi="Calibri"/>
        </w:rPr>
        <w:t xml:space="preserve">Regional </w:t>
      </w:r>
      <w:r w:rsidR="002A46E7" w:rsidRPr="00DE185C">
        <w:rPr>
          <w:rFonts w:ascii="Calibri" w:hAnsi="Calibri"/>
        </w:rPr>
        <w:t xml:space="preserve">Plug-in </w:t>
      </w:r>
      <w:r w:rsidRPr="00DE185C">
        <w:rPr>
          <w:rFonts w:ascii="Calibri" w:hAnsi="Calibri"/>
        </w:rPr>
        <w:t xml:space="preserve">Electric Vehicle Infrastructure (REVI) working group, to develop the San Diego </w:t>
      </w:r>
      <w:r w:rsidR="002A46E7" w:rsidRPr="00DE185C">
        <w:rPr>
          <w:rFonts w:ascii="Calibri" w:hAnsi="Calibri"/>
        </w:rPr>
        <w:t xml:space="preserve">Regional </w:t>
      </w:r>
      <w:r w:rsidRPr="00DE185C">
        <w:rPr>
          <w:rFonts w:ascii="Calibri" w:hAnsi="Calibri"/>
        </w:rPr>
        <w:t>Plug-in Electric Vehicle Readiness Plan (</w:t>
      </w:r>
      <w:r w:rsidR="00137F32" w:rsidRPr="00DE185C">
        <w:rPr>
          <w:rFonts w:ascii="Calibri" w:hAnsi="Calibri"/>
        </w:rPr>
        <w:t xml:space="preserve">PEV </w:t>
      </w:r>
      <w:r w:rsidRPr="00DE185C">
        <w:rPr>
          <w:rFonts w:ascii="Calibri" w:hAnsi="Calibri"/>
        </w:rPr>
        <w:t xml:space="preserve">Readiness Plan). The </w:t>
      </w:r>
      <w:r w:rsidR="00D97499">
        <w:rPr>
          <w:rFonts w:ascii="Calibri" w:hAnsi="Calibri"/>
        </w:rPr>
        <w:t xml:space="preserve">PEV </w:t>
      </w:r>
      <w:r w:rsidRPr="00DE185C">
        <w:rPr>
          <w:rFonts w:ascii="Calibri" w:hAnsi="Calibri"/>
        </w:rPr>
        <w:t>Readiness Plan includes fact sheets</w:t>
      </w:r>
      <w:r w:rsidR="002A46E7" w:rsidRPr="00DE185C">
        <w:rPr>
          <w:rFonts w:ascii="Calibri" w:hAnsi="Calibri"/>
        </w:rPr>
        <w:t>, resources, best practices,</w:t>
      </w:r>
      <w:r w:rsidRPr="00DE185C">
        <w:rPr>
          <w:rFonts w:ascii="Calibri" w:hAnsi="Calibri"/>
        </w:rPr>
        <w:t xml:space="preserve"> and other pertinent </w:t>
      </w:r>
      <w:r w:rsidR="002A46E7" w:rsidRPr="00DE185C">
        <w:rPr>
          <w:rFonts w:ascii="Calibri" w:hAnsi="Calibri"/>
        </w:rPr>
        <w:t xml:space="preserve">guidance documents </w:t>
      </w:r>
      <w:r w:rsidRPr="00DE185C">
        <w:rPr>
          <w:rFonts w:ascii="Calibri" w:hAnsi="Calibri"/>
        </w:rPr>
        <w:t xml:space="preserve">for </w:t>
      </w:r>
      <w:r w:rsidR="002A46E7" w:rsidRPr="00DE185C">
        <w:rPr>
          <w:rFonts w:ascii="Calibri" w:hAnsi="Calibri"/>
        </w:rPr>
        <w:t xml:space="preserve">use by </w:t>
      </w:r>
      <w:r w:rsidRPr="00DE185C">
        <w:rPr>
          <w:rFonts w:ascii="Calibri" w:hAnsi="Calibri"/>
        </w:rPr>
        <w:t xml:space="preserve">planners and </w:t>
      </w:r>
      <w:r w:rsidR="002A46E7" w:rsidRPr="00DE185C">
        <w:rPr>
          <w:rFonts w:ascii="Calibri" w:hAnsi="Calibri"/>
        </w:rPr>
        <w:t xml:space="preserve">other </w:t>
      </w:r>
      <w:r w:rsidRPr="00DE185C">
        <w:rPr>
          <w:rFonts w:ascii="Calibri" w:hAnsi="Calibri"/>
        </w:rPr>
        <w:t>local government officials to support the growth o</w:t>
      </w:r>
      <w:r w:rsidR="008C5E54" w:rsidRPr="00DE185C">
        <w:rPr>
          <w:rFonts w:ascii="Calibri" w:hAnsi="Calibri"/>
        </w:rPr>
        <w:t>f PEVs in their jurisdiction.</w:t>
      </w:r>
    </w:p>
    <w:p w:rsidR="002461F8" w:rsidRPr="00DE185C" w:rsidRDefault="002461F8" w:rsidP="00EE0C47">
      <w:pPr>
        <w:pStyle w:val="Heading2"/>
        <w:rPr>
          <w:rFonts w:ascii="Calibri" w:hAnsi="Calibri"/>
        </w:rPr>
      </w:pPr>
      <w:bookmarkStart w:id="4" w:name="_Toc416259232"/>
      <w:r w:rsidRPr="00DE185C">
        <w:rPr>
          <w:rFonts w:ascii="Calibri" w:hAnsi="Calibri"/>
        </w:rPr>
        <w:t>Familiarity with Alternative Fuels</w:t>
      </w:r>
      <w:bookmarkEnd w:id="4"/>
    </w:p>
    <w:p w:rsidR="00137F32" w:rsidRPr="00DE185C" w:rsidRDefault="00137F32">
      <w:pPr>
        <w:rPr>
          <w:rFonts w:ascii="Calibri" w:hAnsi="Calibri"/>
        </w:rPr>
      </w:pPr>
      <w:bookmarkStart w:id="5" w:name="_Toc410636691"/>
      <w:r w:rsidRPr="00DE185C">
        <w:rPr>
          <w:rFonts w:ascii="Calibri" w:hAnsi="Calibri"/>
        </w:rPr>
        <w:t>As a result of past regional efforts with alternative fuel planning, public agencies and local fleets have been well-exposed to a variety of alternative fuels. In the Public Agency Alternative Fuel Survey (Public Agency Survey)</w:t>
      </w:r>
      <w:r w:rsidR="00AF5C40" w:rsidRPr="00DE185C">
        <w:rPr>
          <w:rStyle w:val="FootnoteReference"/>
          <w:rFonts w:ascii="Calibri" w:hAnsi="Calibri"/>
        </w:rPr>
        <w:footnoteReference w:id="3"/>
      </w:r>
      <w:r w:rsidRPr="00DE185C">
        <w:rPr>
          <w:rFonts w:ascii="Calibri" w:hAnsi="Calibri"/>
        </w:rPr>
        <w:t>, respondents expressed varying levels of familiarity across a range of alternative fuel types, with the highest level of familiarity with electricity. In contrast to the strong familiarity with electricity, there was very little familiarity with hydrogen (Figure 3-1).</w:t>
      </w:r>
    </w:p>
    <w:p w:rsidR="00137F32" w:rsidRPr="00DE185C" w:rsidRDefault="00137F32" w:rsidP="00EE0C47">
      <w:pPr>
        <w:pStyle w:val="Subtitle"/>
      </w:pPr>
      <w:bookmarkStart w:id="6" w:name="_Toc416259269"/>
      <w:r w:rsidRPr="00DE185C">
        <w:t>Figure 3-1: Familiarity with Alternative Fuels Among Public Agencies</w:t>
      </w:r>
      <w:bookmarkEnd w:id="6"/>
    </w:p>
    <w:p w:rsidR="00137F32" w:rsidRPr="00DE185C" w:rsidRDefault="00137F32">
      <w:pPr>
        <w:rPr>
          <w:rFonts w:ascii="Calibri" w:hAnsi="Calibri"/>
        </w:rPr>
      </w:pPr>
      <w:r w:rsidRPr="00DE185C">
        <w:rPr>
          <w:rFonts w:ascii="Calibri" w:hAnsi="Calibri"/>
          <w:noProof/>
          <w:lang w:eastAsia="zh-CN"/>
        </w:rPr>
        <w:drawing>
          <wp:inline distT="0" distB="0" distL="0" distR="0" wp14:anchorId="789910ED" wp14:editId="232B5474">
            <wp:extent cx="5943600" cy="259973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599736"/>
                    </a:xfrm>
                    <a:prstGeom prst="rect">
                      <a:avLst/>
                    </a:prstGeom>
                  </pic:spPr>
                </pic:pic>
              </a:graphicData>
            </a:graphic>
          </wp:inline>
        </w:drawing>
      </w:r>
    </w:p>
    <w:p w:rsidR="00137F32" w:rsidRPr="00DE185C" w:rsidRDefault="00C01DF6">
      <w:pPr>
        <w:rPr>
          <w:rFonts w:ascii="Calibri" w:hAnsi="Calibri"/>
        </w:rPr>
      </w:pPr>
      <w:r>
        <w:rPr>
          <w:rFonts w:ascii="Calibri" w:hAnsi="Calibri"/>
        </w:rPr>
        <w:t xml:space="preserve">Out of the </w:t>
      </w:r>
      <w:r w:rsidR="00137F32" w:rsidRPr="00DE185C">
        <w:rPr>
          <w:rFonts w:ascii="Calibri" w:hAnsi="Calibri"/>
        </w:rPr>
        <w:t xml:space="preserve">local fleets </w:t>
      </w:r>
      <w:r>
        <w:rPr>
          <w:rFonts w:ascii="Calibri" w:hAnsi="Calibri"/>
        </w:rPr>
        <w:t>that</w:t>
      </w:r>
      <w:r w:rsidR="00137F32" w:rsidRPr="00DE185C">
        <w:rPr>
          <w:rFonts w:ascii="Calibri" w:hAnsi="Calibri"/>
        </w:rPr>
        <w:t xml:space="preserve"> were surveyed in the Local Fleet Alternative Fuel Survey (Fleet Survey)</w:t>
      </w:r>
      <w:r w:rsidR="00AF5C40" w:rsidRPr="00DE185C">
        <w:rPr>
          <w:rStyle w:val="FootnoteReference"/>
          <w:rFonts w:ascii="Calibri" w:hAnsi="Calibri"/>
        </w:rPr>
        <w:footnoteReference w:id="4"/>
      </w:r>
      <w:r w:rsidR="00137F32" w:rsidRPr="00DE185C">
        <w:rPr>
          <w:rFonts w:ascii="Calibri" w:hAnsi="Calibri"/>
        </w:rPr>
        <w:t xml:space="preserve">, those that </w:t>
      </w:r>
      <w:r>
        <w:rPr>
          <w:rFonts w:ascii="Calibri" w:hAnsi="Calibri"/>
        </w:rPr>
        <w:t>had</w:t>
      </w:r>
      <w:r w:rsidRPr="00DE185C">
        <w:rPr>
          <w:rFonts w:ascii="Calibri" w:hAnsi="Calibri"/>
        </w:rPr>
        <w:t xml:space="preserve"> </w:t>
      </w:r>
      <w:r w:rsidR="00137F32" w:rsidRPr="00DE185C">
        <w:rPr>
          <w:rFonts w:ascii="Calibri" w:hAnsi="Calibri"/>
        </w:rPr>
        <w:t xml:space="preserve">adopted alternative fuels into their fleets expressed the most familiarity with natural gas, propane, and biodiesel. </w:t>
      </w:r>
      <w:r w:rsidR="00BB65B6">
        <w:rPr>
          <w:rFonts w:ascii="Calibri" w:hAnsi="Calibri"/>
        </w:rPr>
        <w:t>F</w:t>
      </w:r>
      <w:r w:rsidR="00137F32" w:rsidRPr="00DE185C">
        <w:rPr>
          <w:rFonts w:ascii="Calibri" w:hAnsi="Calibri"/>
        </w:rPr>
        <w:t xml:space="preserve">leets that </w:t>
      </w:r>
      <w:r>
        <w:rPr>
          <w:rFonts w:ascii="Calibri" w:hAnsi="Calibri"/>
        </w:rPr>
        <w:t>had</w:t>
      </w:r>
      <w:r w:rsidR="00137F32" w:rsidRPr="00DE185C">
        <w:rPr>
          <w:rFonts w:ascii="Calibri" w:hAnsi="Calibri"/>
        </w:rPr>
        <w:t xml:space="preserve"> not adopted any alternative fuel</w:t>
      </w:r>
      <w:r>
        <w:rPr>
          <w:rFonts w:ascii="Calibri" w:hAnsi="Calibri"/>
        </w:rPr>
        <w:t xml:space="preserve">s, </w:t>
      </w:r>
      <w:r w:rsidR="00137F32" w:rsidRPr="00DE185C">
        <w:rPr>
          <w:rFonts w:ascii="Calibri" w:hAnsi="Calibri"/>
        </w:rPr>
        <w:t>expressed little familiarity with alternative fuel</w:t>
      </w:r>
      <w:r>
        <w:rPr>
          <w:rFonts w:ascii="Calibri" w:hAnsi="Calibri"/>
        </w:rPr>
        <w:t xml:space="preserve"> types.</w:t>
      </w:r>
      <w:r w:rsidR="00137F32" w:rsidRPr="00DE185C">
        <w:rPr>
          <w:rFonts w:ascii="Calibri" w:hAnsi="Calibri"/>
        </w:rPr>
        <w:t xml:space="preserve"> Adopting fleets’ familiarity </w:t>
      </w:r>
      <w:r w:rsidR="00137F32" w:rsidRPr="000C1CD5">
        <w:rPr>
          <w:rFonts w:ascii="Calibri" w:hAnsi="Calibri"/>
        </w:rPr>
        <w:t xml:space="preserve">with </w:t>
      </w:r>
      <w:r w:rsidR="00137F32" w:rsidRPr="006909BC">
        <w:rPr>
          <w:rFonts w:ascii="Calibri" w:hAnsi="Calibri"/>
        </w:rPr>
        <w:t>alternative fuels can</w:t>
      </w:r>
      <w:r w:rsidR="00137F32" w:rsidRPr="00DE185C">
        <w:rPr>
          <w:rFonts w:ascii="Calibri" w:hAnsi="Calibri"/>
        </w:rPr>
        <w:t xml:space="preserve"> be found in Figure 3-2. </w:t>
      </w:r>
    </w:p>
    <w:p w:rsidR="00D95E1A" w:rsidRPr="00DE185C" w:rsidRDefault="00D95E1A" w:rsidP="00D95E1A">
      <w:pPr>
        <w:rPr>
          <w:rFonts w:ascii="Calibri" w:hAnsi="Calibri"/>
        </w:rPr>
      </w:pPr>
    </w:p>
    <w:p w:rsidR="00137F32" w:rsidRPr="00DE185C" w:rsidRDefault="00137F32" w:rsidP="00EE0C47">
      <w:pPr>
        <w:pStyle w:val="Subtitle"/>
      </w:pPr>
      <w:bookmarkStart w:id="7" w:name="_Toc416259270"/>
      <w:r w:rsidRPr="00DE185C">
        <w:t>Figure 3-2: Familiarity with Alternative Fuels Among Adopting Fleets</w:t>
      </w:r>
      <w:bookmarkEnd w:id="7"/>
    </w:p>
    <w:p w:rsidR="009D2CE6" w:rsidRPr="00DE185C" w:rsidRDefault="00137F32">
      <w:pPr>
        <w:rPr>
          <w:rFonts w:ascii="Calibri" w:hAnsi="Calibri"/>
          <w:bCs/>
          <w:sz w:val="40"/>
          <w:szCs w:val="28"/>
        </w:rPr>
      </w:pPr>
      <w:r w:rsidRPr="00DE185C">
        <w:rPr>
          <w:rFonts w:ascii="Calibri" w:hAnsi="Calibri"/>
          <w:noProof/>
          <w:lang w:eastAsia="zh-CN"/>
        </w:rPr>
        <w:drawing>
          <wp:inline distT="0" distB="0" distL="0" distR="0" wp14:anchorId="50539F76" wp14:editId="331949FC">
            <wp:extent cx="5943600" cy="2545329"/>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545329"/>
                    </a:xfrm>
                    <a:prstGeom prst="rect">
                      <a:avLst/>
                    </a:prstGeom>
                  </pic:spPr>
                </pic:pic>
              </a:graphicData>
            </a:graphic>
          </wp:inline>
        </w:drawing>
      </w:r>
      <w:r w:rsidRPr="00DE185C">
        <w:rPr>
          <w:rFonts w:ascii="Calibri" w:hAnsi="Calibri"/>
        </w:rPr>
        <w:t xml:space="preserve"> </w:t>
      </w:r>
      <w:r w:rsidR="009D2CE6" w:rsidRPr="00DE185C">
        <w:rPr>
          <w:rFonts w:ascii="Calibri" w:hAnsi="Calibri"/>
        </w:rPr>
        <w:br w:type="page"/>
      </w:r>
    </w:p>
    <w:p w:rsidR="00524127" w:rsidRPr="00DE185C" w:rsidRDefault="002440D4" w:rsidP="00524127">
      <w:pPr>
        <w:pStyle w:val="Heading1"/>
        <w:rPr>
          <w:rFonts w:ascii="Calibri" w:hAnsi="Calibri"/>
        </w:rPr>
      </w:pPr>
      <w:bookmarkStart w:id="8" w:name="_Toc416259233"/>
      <w:r w:rsidRPr="00DE185C">
        <w:rPr>
          <w:rFonts w:ascii="Calibri" w:hAnsi="Calibri"/>
        </w:rPr>
        <w:t xml:space="preserve">4. </w:t>
      </w:r>
      <w:r w:rsidR="00524127" w:rsidRPr="00DE185C">
        <w:rPr>
          <w:rFonts w:ascii="Calibri" w:hAnsi="Calibri"/>
        </w:rPr>
        <w:t xml:space="preserve">State and Municipal </w:t>
      </w:r>
      <w:bookmarkEnd w:id="5"/>
      <w:r w:rsidR="009F6AB2" w:rsidRPr="00DE185C">
        <w:rPr>
          <w:rFonts w:ascii="Calibri" w:hAnsi="Calibri"/>
        </w:rPr>
        <w:t>Strategies</w:t>
      </w:r>
      <w:bookmarkEnd w:id="8"/>
    </w:p>
    <w:p w:rsidR="003A7EDC" w:rsidRDefault="003A7EDC" w:rsidP="008F6536">
      <w:r w:rsidRPr="00DE185C">
        <w:rPr>
          <w:rFonts w:ascii="Calibri" w:hAnsi="Calibri"/>
        </w:rPr>
        <w:t>There are many state goals, policies, and mandates intended to increase the use of alternative fuel vehicles and support the installation of alternative fuel infrastructure</w:t>
      </w:r>
      <w:r>
        <w:rPr>
          <w:rFonts w:ascii="Calibri" w:hAnsi="Calibri"/>
        </w:rPr>
        <w:t xml:space="preserve">. </w:t>
      </w:r>
      <w:r w:rsidRPr="00DE185C">
        <w:rPr>
          <w:rFonts w:ascii="Calibri" w:hAnsi="Calibri"/>
        </w:rPr>
        <w:t xml:space="preserve">Local governments and public agencies in tune with these policies will be able to stay at the forefront of grant opportunities from the state. </w:t>
      </w:r>
    </w:p>
    <w:p w:rsidR="003A7EDC" w:rsidRDefault="003A7EDC" w:rsidP="006909BC">
      <w:pPr>
        <w:pStyle w:val="Heading2"/>
        <w:rPr>
          <w:rFonts w:ascii="Calibri" w:hAnsi="Calibri"/>
        </w:rPr>
      </w:pPr>
      <w:bookmarkStart w:id="9" w:name="_Toc416259234"/>
      <w:r w:rsidRPr="006909BC">
        <w:rPr>
          <w:rFonts w:ascii="Calibri" w:hAnsi="Calibri"/>
        </w:rPr>
        <w:t>State Strategies</w:t>
      </w:r>
      <w:bookmarkEnd w:id="9"/>
    </w:p>
    <w:p w:rsidR="003A7EDC" w:rsidRPr="006909BC" w:rsidRDefault="003A7EDC">
      <w:pPr>
        <w:rPr>
          <w:rFonts w:ascii="Calibri" w:hAnsi="Calibri"/>
        </w:rPr>
      </w:pPr>
      <w:r>
        <w:rPr>
          <w:rFonts w:ascii="Calibri" w:hAnsi="Calibri"/>
        </w:rPr>
        <w:t xml:space="preserve">Many of the state goals, policies, and mandates to increase the use of alternative fuel vehicles and support the installation of alternative fuel infrastructure are listed in Table 4-1. These strategies drive </w:t>
      </w:r>
      <w:r w:rsidRPr="00DE185C">
        <w:rPr>
          <w:rFonts w:ascii="Calibri" w:hAnsi="Calibri"/>
        </w:rPr>
        <w:t>state activities and programs</w:t>
      </w:r>
      <w:r>
        <w:rPr>
          <w:rFonts w:ascii="Calibri" w:hAnsi="Calibri"/>
        </w:rPr>
        <w:t>,</w:t>
      </w:r>
      <w:r w:rsidRPr="00DE185C">
        <w:rPr>
          <w:rFonts w:ascii="Calibri" w:hAnsi="Calibri"/>
        </w:rPr>
        <w:t xml:space="preserve"> </w:t>
      </w:r>
      <w:r>
        <w:rPr>
          <w:rFonts w:ascii="Calibri" w:hAnsi="Calibri"/>
        </w:rPr>
        <w:t xml:space="preserve">and </w:t>
      </w:r>
      <w:r w:rsidRPr="00DE185C">
        <w:rPr>
          <w:rFonts w:ascii="Calibri" w:hAnsi="Calibri"/>
        </w:rPr>
        <w:t>allocat</w:t>
      </w:r>
      <w:r>
        <w:rPr>
          <w:rFonts w:ascii="Calibri" w:hAnsi="Calibri"/>
        </w:rPr>
        <w:t>e</w:t>
      </w:r>
      <w:r w:rsidRPr="00DE185C">
        <w:rPr>
          <w:rFonts w:ascii="Calibri" w:hAnsi="Calibri"/>
        </w:rPr>
        <w:t xml:space="preserve"> money to projects expected to propel the alternative fuel market forward. </w:t>
      </w:r>
    </w:p>
    <w:p w:rsidR="00524127" w:rsidRPr="00DE185C" w:rsidRDefault="00524127" w:rsidP="00C768E1">
      <w:pPr>
        <w:pStyle w:val="Heading5"/>
        <w:rPr>
          <w:rStyle w:val="BookTitle"/>
          <w:rFonts w:ascii="Calibri" w:hAnsi="Calibri"/>
          <w:b/>
          <w:bCs w:val="0"/>
          <w:spacing w:val="0"/>
          <w:sz w:val="24"/>
        </w:rPr>
      </w:pPr>
      <w:bookmarkStart w:id="10" w:name="_Toc416259317"/>
      <w:r w:rsidRPr="00DE185C">
        <w:rPr>
          <w:rStyle w:val="BookTitle"/>
          <w:rFonts w:ascii="Calibri" w:hAnsi="Calibri"/>
          <w:b/>
          <w:bCs w:val="0"/>
          <w:spacing w:val="0"/>
          <w:sz w:val="24"/>
        </w:rPr>
        <w:t xml:space="preserve">Table </w:t>
      </w:r>
      <w:r w:rsidR="002440D4" w:rsidRPr="00DE185C">
        <w:rPr>
          <w:rStyle w:val="BookTitle"/>
          <w:rFonts w:ascii="Calibri" w:hAnsi="Calibri"/>
          <w:b/>
          <w:bCs w:val="0"/>
          <w:spacing w:val="0"/>
          <w:sz w:val="24"/>
        </w:rPr>
        <w:t>4-</w:t>
      </w:r>
      <w:r w:rsidRPr="00DE185C">
        <w:rPr>
          <w:rStyle w:val="BookTitle"/>
          <w:rFonts w:ascii="Calibri" w:hAnsi="Calibri"/>
          <w:b/>
          <w:bCs w:val="0"/>
          <w:spacing w:val="0"/>
          <w:sz w:val="24"/>
        </w:rPr>
        <w:t xml:space="preserve">1: Alternative Fuel-Oriented </w:t>
      </w:r>
      <w:r w:rsidR="00434341" w:rsidRPr="00DE185C">
        <w:rPr>
          <w:rStyle w:val="BookTitle"/>
          <w:rFonts w:ascii="Calibri" w:hAnsi="Calibri"/>
          <w:b/>
          <w:bCs w:val="0"/>
          <w:spacing w:val="0"/>
          <w:sz w:val="24"/>
        </w:rPr>
        <w:t>Strategies</w:t>
      </w:r>
      <w:bookmarkEnd w:id="10"/>
    </w:p>
    <w:tbl>
      <w:tblPr>
        <w:tblW w:w="9483" w:type="dxa"/>
        <w:tblInd w:w="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56"/>
        <w:gridCol w:w="1159"/>
        <w:gridCol w:w="2340"/>
        <w:gridCol w:w="3528"/>
      </w:tblGrid>
      <w:tr w:rsidR="0068516E" w:rsidRPr="00DE185C" w:rsidTr="008E51F6">
        <w:trPr>
          <w:trHeight w:val="485"/>
        </w:trPr>
        <w:tc>
          <w:tcPr>
            <w:tcW w:w="2456" w:type="dxa"/>
            <w:shd w:val="clear" w:color="auto" w:fill="314B5A"/>
            <w:vAlign w:val="bottom"/>
            <w:hideMark/>
          </w:tcPr>
          <w:p w:rsidR="0068516E" w:rsidRPr="00DE185C" w:rsidRDefault="0068516E" w:rsidP="002E1FA2">
            <w:pPr>
              <w:spacing w:after="0" w:line="240" w:lineRule="auto"/>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Strategy Origin</w:t>
            </w:r>
          </w:p>
        </w:tc>
        <w:tc>
          <w:tcPr>
            <w:tcW w:w="1159" w:type="dxa"/>
            <w:shd w:val="clear" w:color="auto" w:fill="314B5A"/>
            <w:vAlign w:val="bottom"/>
          </w:tcPr>
          <w:p w:rsidR="0068516E" w:rsidRPr="00DE185C" w:rsidRDefault="0068516E" w:rsidP="006A6036">
            <w:pPr>
              <w:spacing w:after="0" w:line="240" w:lineRule="auto"/>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Year</w:t>
            </w:r>
          </w:p>
        </w:tc>
        <w:tc>
          <w:tcPr>
            <w:tcW w:w="2340" w:type="dxa"/>
            <w:shd w:val="clear" w:color="auto" w:fill="314B5A"/>
            <w:vAlign w:val="bottom"/>
            <w:hideMark/>
          </w:tcPr>
          <w:p w:rsidR="0068516E" w:rsidRPr="00DE185C" w:rsidRDefault="0068516E" w:rsidP="002E1FA2">
            <w:pPr>
              <w:spacing w:after="0" w:line="240" w:lineRule="auto"/>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Objectives</w:t>
            </w:r>
          </w:p>
        </w:tc>
        <w:tc>
          <w:tcPr>
            <w:tcW w:w="3528" w:type="dxa"/>
            <w:shd w:val="clear" w:color="auto" w:fill="314B5A"/>
            <w:vAlign w:val="bottom"/>
            <w:hideMark/>
          </w:tcPr>
          <w:p w:rsidR="0068516E" w:rsidRPr="00DE185C" w:rsidRDefault="0068516E" w:rsidP="002E1FA2">
            <w:pPr>
              <w:spacing w:after="0" w:line="240" w:lineRule="auto"/>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Goals and Milestones</w:t>
            </w:r>
          </w:p>
        </w:tc>
      </w:tr>
      <w:tr w:rsidR="0077273D" w:rsidRPr="00DE185C" w:rsidTr="0077273D">
        <w:trPr>
          <w:trHeight w:val="336"/>
        </w:trPr>
        <w:tc>
          <w:tcPr>
            <w:tcW w:w="2456" w:type="dxa"/>
            <w:shd w:val="clear" w:color="auto" w:fill="B6DDE8" w:themeFill="accent5" w:themeFillTint="66"/>
            <w:vAlign w:val="center"/>
          </w:tcPr>
          <w:p w:rsidR="0077273D" w:rsidRPr="00DE185C" w:rsidRDefault="0077273D"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Federal Clean Air Act</w:t>
            </w:r>
          </w:p>
        </w:tc>
        <w:tc>
          <w:tcPr>
            <w:tcW w:w="1159" w:type="dxa"/>
            <w:shd w:val="clear" w:color="auto" w:fill="B6DDE8" w:themeFill="accent5" w:themeFillTint="66"/>
            <w:vAlign w:val="center"/>
          </w:tcPr>
          <w:p w:rsidR="0077273D" w:rsidRPr="00DE185C" w:rsidRDefault="0077273D"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1970</w:t>
            </w:r>
          </w:p>
        </w:tc>
        <w:tc>
          <w:tcPr>
            <w:tcW w:w="2340" w:type="dxa"/>
            <w:shd w:val="clear" w:color="auto" w:fill="B6DDE8" w:themeFill="accent5" w:themeFillTint="66"/>
            <w:vAlign w:val="center"/>
          </w:tcPr>
          <w:p w:rsidR="0077273D" w:rsidRPr="00DE185C" w:rsidRDefault="0077273D"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Air Quality</w:t>
            </w:r>
          </w:p>
        </w:tc>
        <w:tc>
          <w:tcPr>
            <w:tcW w:w="3528" w:type="dxa"/>
            <w:shd w:val="clear" w:color="auto" w:fill="B6DDE8" w:themeFill="accent5" w:themeFillTint="66"/>
            <w:vAlign w:val="center"/>
          </w:tcPr>
          <w:p w:rsidR="0077273D" w:rsidRPr="00DE185C" w:rsidRDefault="0077273D" w:rsidP="0077273D">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80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reduction of NOx by 2023</w:t>
            </w:r>
          </w:p>
        </w:tc>
      </w:tr>
      <w:tr w:rsidR="00434341" w:rsidRPr="00DE185C" w:rsidTr="008E51F6">
        <w:trPr>
          <w:trHeight w:val="336"/>
        </w:trPr>
        <w:tc>
          <w:tcPr>
            <w:tcW w:w="2456"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AB 2076 (Shelley)</w:t>
            </w:r>
          </w:p>
        </w:tc>
        <w:tc>
          <w:tcPr>
            <w:tcW w:w="1159" w:type="dxa"/>
            <w:shd w:val="clear" w:color="auto" w:fill="DAEEF3" w:themeFill="accent5" w:themeFillTint="33"/>
            <w:vAlign w:val="center"/>
          </w:tcPr>
          <w:p w:rsidR="00434341" w:rsidRPr="00DE185C" w:rsidRDefault="00434341"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2000</w:t>
            </w:r>
          </w:p>
        </w:tc>
        <w:tc>
          <w:tcPr>
            <w:tcW w:w="2340"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Petroleum Reduction</w:t>
            </w:r>
          </w:p>
        </w:tc>
        <w:tc>
          <w:tcPr>
            <w:tcW w:w="3528"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Increase use of alternative fuels to 20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of on-road transportation fuel use by 2020 and 30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2030</w:t>
            </w:r>
          </w:p>
        </w:tc>
      </w:tr>
      <w:tr w:rsidR="00434341" w:rsidRPr="00DE185C" w:rsidTr="008E51F6">
        <w:trPr>
          <w:trHeight w:val="336"/>
        </w:trPr>
        <w:tc>
          <w:tcPr>
            <w:tcW w:w="2456" w:type="dxa"/>
            <w:shd w:val="clear" w:color="auto" w:fill="B6DDE8" w:themeFill="accent5" w:themeFillTint="66"/>
            <w:vAlign w:val="center"/>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AB 1493 (</w:t>
            </w:r>
            <w:proofErr w:type="spellStart"/>
            <w:r w:rsidRPr="00DE185C">
              <w:rPr>
                <w:rFonts w:ascii="Calibri" w:eastAsia="Times New Roman" w:hAnsi="Calibri" w:cs="Times New Roman"/>
                <w:color w:val="000000"/>
                <w:sz w:val="20"/>
                <w:szCs w:val="20"/>
              </w:rPr>
              <w:t>Pavley</w:t>
            </w:r>
            <w:proofErr w:type="spellEnd"/>
            <w:r w:rsidRPr="00DE185C">
              <w:rPr>
                <w:rFonts w:ascii="Calibri" w:eastAsia="Times New Roman" w:hAnsi="Calibri" w:cs="Times New Roman"/>
                <w:color w:val="000000"/>
                <w:sz w:val="20"/>
                <w:szCs w:val="20"/>
              </w:rPr>
              <w:t xml:space="preserve"> regulations) </w:t>
            </w:r>
          </w:p>
        </w:tc>
        <w:tc>
          <w:tcPr>
            <w:tcW w:w="1159" w:type="dxa"/>
            <w:shd w:val="clear" w:color="auto" w:fill="B6DDE8" w:themeFill="accent5" w:themeFillTint="66"/>
            <w:vAlign w:val="center"/>
          </w:tcPr>
          <w:p w:rsidR="00434341" w:rsidRPr="00DE185C" w:rsidRDefault="00434341"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2002</w:t>
            </w:r>
          </w:p>
        </w:tc>
        <w:tc>
          <w:tcPr>
            <w:tcW w:w="2340" w:type="dxa"/>
            <w:shd w:val="clear" w:color="auto" w:fill="B6DDE8" w:themeFill="accent5" w:themeFillTint="66"/>
            <w:vAlign w:val="center"/>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GHG Reduction</w:t>
            </w:r>
          </w:p>
        </w:tc>
        <w:tc>
          <w:tcPr>
            <w:tcW w:w="3528" w:type="dxa"/>
            <w:shd w:val="clear" w:color="auto" w:fill="B6DDE8" w:themeFill="accent5" w:themeFillTint="66"/>
            <w:vAlign w:val="center"/>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17</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reduction in climate change emissions from light-duty fleet by 2020 and 25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overall reduction by 2030</w:t>
            </w:r>
          </w:p>
        </w:tc>
      </w:tr>
      <w:tr w:rsidR="00C85C8C" w:rsidRPr="00DE185C" w:rsidTr="008E51F6">
        <w:trPr>
          <w:trHeight w:val="336"/>
        </w:trPr>
        <w:tc>
          <w:tcPr>
            <w:tcW w:w="2456" w:type="dxa"/>
            <w:shd w:val="clear" w:color="auto" w:fill="DAEEF3" w:themeFill="accent5" w:themeFillTint="33"/>
            <w:vAlign w:val="center"/>
            <w:hideMark/>
          </w:tcPr>
          <w:p w:rsidR="00C85C8C" w:rsidRPr="00DE185C" w:rsidRDefault="00C85C8C" w:rsidP="00AF46EB">
            <w:pPr>
              <w:spacing w:after="0" w:line="240" w:lineRule="auto"/>
              <w:rPr>
                <w:rFonts w:ascii="Calibri" w:eastAsia="Times New Roman" w:hAnsi="Calibri" w:cs="Times New Roman"/>
                <w:i/>
                <w:iCs/>
                <w:color w:val="000000"/>
                <w:sz w:val="20"/>
                <w:szCs w:val="20"/>
              </w:rPr>
            </w:pPr>
            <w:r w:rsidRPr="00DE185C">
              <w:rPr>
                <w:rFonts w:ascii="Calibri" w:eastAsia="Times New Roman" w:hAnsi="Calibri" w:cs="Times New Roman"/>
                <w:color w:val="000000"/>
                <w:sz w:val="20"/>
                <w:szCs w:val="20"/>
              </w:rPr>
              <w:t>Petroleum Reduction and Alternative Fuel Goals (</w:t>
            </w:r>
            <w:r w:rsidRPr="00DE185C">
              <w:rPr>
                <w:rFonts w:ascii="Calibri" w:eastAsia="Times New Roman" w:hAnsi="Calibri" w:cs="Times New Roman"/>
                <w:i/>
                <w:color w:val="000000"/>
                <w:sz w:val="20"/>
                <w:szCs w:val="20"/>
              </w:rPr>
              <w:t>Reducing California’s Petroleum Dependence)</w:t>
            </w:r>
            <w:r w:rsidRPr="00DE185C">
              <w:rPr>
                <w:rStyle w:val="FootnoteReference"/>
                <w:rFonts w:ascii="Calibri" w:eastAsia="Times New Roman" w:hAnsi="Calibri" w:cs="Times New Roman"/>
                <w:i/>
                <w:color w:val="000000"/>
                <w:sz w:val="20"/>
                <w:szCs w:val="20"/>
              </w:rPr>
              <w:footnoteReference w:id="5"/>
            </w:r>
          </w:p>
        </w:tc>
        <w:tc>
          <w:tcPr>
            <w:tcW w:w="1159" w:type="dxa"/>
            <w:shd w:val="clear" w:color="auto" w:fill="DAEEF3" w:themeFill="accent5" w:themeFillTint="33"/>
            <w:vAlign w:val="center"/>
          </w:tcPr>
          <w:p w:rsidR="00C85C8C" w:rsidRPr="00DE185C" w:rsidRDefault="00C85C8C" w:rsidP="00AF46E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2003</w:t>
            </w:r>
          </w:p>
        </w:tc>
        <w:tc>
          <w:tcPr>
            <w:tcW w:w="2340" w:type="dxa"/>
            <w:shd w:val="clear" w:color="auto" w:fill="DAEEF3" w:themeFill="accent5" w:themeFillTint="33"/>
            <w:vAlign w:val="center"/>
            <w:hideMark/>
          </w:tcPr>
          <w:p w:rsidR="00C85C8C" w:rsidRPr="00DE185C" w:rsidRDefault="00C85C8C" w:rsidP="00AF46E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Petroleum Reduction</w:t>
            </w:r>
          </w:p>
        </w:tc>
        <w:tc>
          <w:tcPr>
            <w:tcW w:w="3528" w:type="dxa"/>
            <w:shd w:val="clear" w:color="auto" w:fill="DAEEF3" w:themeFill="accent5" w:themeFillTint="33"/>
            <w:vAlign w:val="center"/>
            <w:hideMark/>
          </w:tcPr>
          <w:p w:rsidR="00C85C8C" w:rsidRPr="00DE185C" w:rsidRDefault="00C85C8C" w:rsidP="00AF46E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Reduce petroleum fuel use to 15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below 2003 levels by 2020 </w:t>
            </w:r>
          </w:p>
        </w:tc>
      </w:tr>
      <w:tr w:rsidR="00434341" w:rsidRPr="00DE185C" w:rsidTr="008E51F6">
        <w:trPr>
          <w:trHeight w:val="336"/>
        </w:trPr>
        <w:tc>
          <w:tcPr>
            <w:tcW w:w="2456" w:type="dxa"/>
            <w:shd w:val="clear" w:color="auto" w:fill="B6DDE8" w:themeFill="accent5" w:themeFillTint="66"/>
            <w:vAlign w:val="center"/>
            <w:hideMark/>
          </w:tcPr>
          <w:p w:rsidR="00434341" w:rsidRPr="00DE185C" w:rsidRDefault="00C85C8C" w:rsidP="002E1FA2">
            <w:pPr>
              <w:spacing w:after="0" w:line="240" w:lineRule="auto"/>
              <w:rPr>
                <w:rFonts w:ascii="Calibri" w:eastAsia="Times New Roman" w:hAnsi="Calibri" w:cs="Times New Roman"/>
                <w:i/>
                <w:iCs/>
                <w:color w:val="000000"/>
                <w:sz w:val="20"/>
                <w:szCs w:val="20"/>
              </w:rPr>
            </w:pPr>
            <w:r w:rsidRPr="00DE185C">
              <w:rPr>
                <w:rFonts w:ascii="Calibri" w:eastAsia="Times New Roman" w:hAnsi="Calibri" w:cs="Times New Roman"/>
                <w:iCs/>
                <w:color w:val="000000"/>
                <w:sz w:val="20"/>
                <w:szCs w:val="20"/>
              </w:rPr>
              <w:t>AB 1007 (</w:t>
            </w:r>
            <w:r w:rsidR="0077273D" w:rsidRPr="00DE185C">
              <w:rPr>
                <w:rFonts w:ascii="Calibri" w:eastAsia="Times New Roman" w:hAnsi="Calibri" w:cs="Times New Roman"/>
                <w:i/>
                <w:iCs/>
                <w:color w:val="000000"/>
                <w:sz w:val="20"/>
                <w:szCs w:val="20"/>
              </w:rPr>
              <w:t>State Alternative Fuels Plan</w:t>
            </w:r>
            <w:r w:rsidRPr="00DE185C">
              <w:rPr>
                <w:rFonts w:ascii="Calibri" w:eastAsia="Times New Roman" w:hAnsi="Calibri" w:cs="Times New Roman"/>
                <w:iCs/>
                <w:color w:val="000000"/>
                <w:sz w:val="20"/>
                <w:szCs w:val="20"/>
              </w:rPr>
              <w:t>)</w:t>
            </w:r>
            <w:r w:rsidR="00434341" w:rsidRPr="00DE185C">
              <w:rPr>
                <w:rFonts w:ascii="Calibri" w:eastAsia="Times New Roman" w:hAnsi="Calibri" w:cs="Times New Roman"/>
                <w:i/>
                <w:iCs/>
                <w:color w:val="000000"/>
                <w:sz w:val="20"/>
                <w:szCs w:val="20"/>
              </w:rPr>
              <w:t xml:space="preserve"> </w:t>
            </w:r>
          </w:p>
        </w:tc>
        <w:tc>
          <w:tcPr>
            <w:tcW w:w="1159" w:type="dxa"/>
            <w:shd w:val="clear" w:color="auto" w:fill="B6DDE8" w:themeFill="accent5" w:themeFillTint="66"/>
            <w:vAlign w:val="center"/>
          </w:tcPr>
          <w:p w:rsidR="00434341" w:rsidRPr="00DE185C" w:rsidRDefault="0077273D"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2005</w:t>
            </w:r>
          </w:p>
        </w:tc>
        <w:tc>
          <w:tcPr>
            <w:tcW w:w="2340" w:type="dxa"/>
            <w:shd w:val="clear" w:color="auto" w:fill="B6DDE8" w:themeFill="accent5" w:themeFillTint="66"/>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GHG Reduction</w:t>
            </w:r>
          </w:p>
        </w:tc>
        <w:tc>
          <w:tcPr>
            <w:tcW w:w="3528" w:type="dxa"/>
            <w:shd w:val="clear" w:color="auto" w:fill="B6DDE8" w:themeFill="accent5" w:themeFillTint="66"/>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Increase alternative fuel use to 9</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2012, 11</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2017, and 26</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2022; helps meet AB 1007 </w:t>
            </w:r>
          </w:p>
        </w:tc>
      </w:tr>
      <w:tr w:rsidR="00434341" w:rsidRPr="00DE185C" w:rsidTr="008E51F6">
        <w:trPr>
          <w:trHeight w:val="503"/>
        </w:trPr>
        <w:tc>
          <w:tcPr>
            <w:tcW w:w="2456"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Energy Policy Act of 2005; Energy Independence and Security Act of 2007</w:t>
            </w:r>
          </w:p>
        </w:tc>
        <w:tc>
          <w:tcPr>
            <w:tcW w:w="1159" w:type="dxa"/>
            <w:shd w:val="clear" w:color="auto" w:fill="DAEEF3" w:themeFill="accent5" w:themeFillTint="33"/>
            <w:vAlign w:val="center"/>
          </w:tcPr>
          <w:p w:rsidR="00434341" w:rsidRPr="00DE185C" w:rsidRDefault="00434341"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2005</w:t>
            </w:r>
          </w:p>
        </w:tc>
        <w:tc>
          <w:tcPr>
            <w:tcW w:w="2340"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Renewable Fuel Standard</w:t>
            </w:r>
          </w:p>
        </w:tc>
        <w:tc>
          <w:tcPr>
            <w:tcW w:w="3528"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36 billion gallons of renewable fuel used in the US by 2022 </w:t>
            </w:r>
          </w:p>
        </w:tc>
      </w:tr>
      <w:tr w:rsidR="00707B4A" w:rsidRPr="00DE185C" w:rsidTr="008E51F6">
        <w:trPr>
          <w:trHeight w:val="336"/>
        </w:trPr>
        <w:tc>
          <w:tcPr>
            <w:tcW w:w="2456" w:type="dxa"/>
            <w:shd w:val="clear" w:color="auto" w:fill="B6DDE8" w:themeFill="accent5" w:themeFillTint="66"/>
            <w:vAlign w:val="center"/>
          </w:tcPr>
          <w:p w:rsidR="00707B4A" w:rsidRPr="00DE185C" w:rsidRDefault="00707B4A" w:rsidP="002E1FA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Executive Order S-3-05</w:t>
            </w:r>
          </w:p>
        </w:tc>
        <w:tc>
          <w:tcPr>
            <w:tcW w:w="1159" w:type="dxa"/>
            <w:shd w:val="clear" w:color="auto" w:fill="B6DDE8" w:themeFill="accent5" w:themeFillTint="66"/>
            <w:vAlign w:val="center"/>
          </w:tcPr>
          <w:p w:rsidR="00707B4A" w:rsidRPr="00DE185C" w:rsidRDefault="00707B4A" w:rsidP="006A603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2005</w:t>
            </w:r>
          </w:p>
        </w:tc>
        <w:tc>
          <w:tcPr>
            <w:tcW w:w="2340" w:type="dxa"/>
            <w:shd w:val="clear" w:color="auto" w:fill="B6DDE8" w:themeFill="accent5" w:themeFillTint="66"/>
            <w:vAlign w:val="center"/>
          </w:tcPr>
          <w:p w:rsidR="00707B4A" w:rsidRPr="00DE185C" w:rsidRDefault="00707B4A" w:rsidP="002E1FA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GHG Reduction</w:t>
            </w:r>
          </w:p>
        </w:tc>
        <w:tc>
          <w:tcPr>
            <w:tcW w:w="3528" w:type="dxa"/>
            <w:shd w:val="clear" w:color="auto" w:fill="B6DDE8" w:themeFill="accent5" w:themeFillTint="66"/>
            <w:vAlign w:val="center"/>
          </w:tcPr>
          <w:p w:rsidR="00707B4A" w:rsidRPr="00DE185C" w:rsidRDefault="00707B4A" w:rsidP="002E1FA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w:t>
            </w:r>
            <w:r w:rsidRPr="00707B4A">
              <w:rPr>
                <w:rFonts w:ascii="Calibri" w:eastAsia="Times New Roman" w:hAnsi="Calibri" w:cs="Times New Roman"/>
                <w:color w:val="000000"/>
                <w:sz w:val="20"/>
                <w:szCs w:val="20"/>
              </w:rPr>
              <w:t>y 2010, reduce GHG emissions to 2000 levels; by 2020, reduce GHG emissions to 1990 levels; by 2050, reduce GHG emissions to 80 percent below 1990 levels</w:t>
            </w:r>
          </w:p>
        </w:tc>
      </w:tr>
      <w:tr w:rsidR="00434341" w:rsidRPr="00DE185C" w:rsidTr="006909BC">
        <w:trPr>
          <w:trHeight w:val="557"/>
        </w:trPr>
        <w:tc>
          <w:tcPr>
            <w:tcW w:w="2456"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AB 32 (Global Warming Solutions Act)</w:t>
            </w:r>
          </w:p>
        </w:tc>
        <w:tc>
          <w:tcPr>
            <w:tcW w:w="1159" w:type="dxa"/>
            <w:shd w:val="clear" w:color="auto" w:fill="DAEEF3" w:themeFill="accent5" w:themeFillTint="33"/>
            <w:vAlign w:val="center"/>
          </w:tcPr>
          <w:p w:rsidR="00434341" w:rsidRPr="00DE185C" w:rsidRDefault="00434341"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2006</w:t>
            </w:r>
          </w:p>
        </w:tc>
        <w:tc>
          <w:tcPr>
            <w:tcW w:w="2340"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GHG Reduction</w:t>
            </w:r>
          </w:p>
        </w:tc>
        <w:tc>
          <w:tcPr>
            <w:tcW w:w="3528" w:type="dxa"/>
            <w:shd w:val="clear" w:color="auto" w:fill="DAEEF3" w:themeFill="accent5" w:themeFillTint="33"/>
            <w:vAlign w:val="center"/>
            <w:hideMark/>
          </w:tcPr>
          <w:p w:rsidR="00434341" w:rsidRPr="00DE185C" w:rsidRDefault="00434341" w:rsidP="00DB0BD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Reduce GHG emissions to 1990 levels by 2020 </w:t>
            </w:r>
          </w:p>
        </w:tc>
      </w:tr>
      <w:tr w:rsidR="00434341" w:rsidRPr="00DE185C" w:rsidTr="006909BC">
        <w:trPr>
          <w:trHeight w:val="336"/>
        </w:trPr>
        <w:tc>
          <w:tcPr>
            <w:tcW w:w="2456" w:type="dxa"/>
            <w:shd w:val="clear" w:color="auto" w:fill="B6DDE8" w:themeFill="accent5" w:themeFillTint="66"/>
            <w:vAlign w:val="center"/>
            <w:hideMark/>
          </w:tcPr>
          <w:p w:rsidR="00434341" w:rsidRPr="00DE185C" w:rsidRDefault="00434341" w:rsidP="002D6186">
            <w:pPr>
              <w:spacing w:after="0" w:line="240" w:lineRule="auto"/>
              <w:rPr>
                <w:rFonts w:ascii="Calibri" w:eastAsia="Times New Roman" w:hAnsi="Calibri" w:cs="Times New Roman"/>
                <w:i/>
                <w:iCs/>
                <w:color w:val="000000"/>
                <w:sz w:val="20"/>
                <w:szCs w:val="20"/>
              </w:rPr>
            </w:pPr>
            <w:r w:rsidRPr="00DE185C">
              <w:rPr>
                <w:rFonts w:ascii="Calibri" w:eastAsia="Times New Roman" w:hAnsi="Calibri" w:cs="Times New Roman"/>
                <w:color w:val="000000"/>
                <w:sz w:val="20"/>
                <w:szCs w:val="20"/>
              </w:rPr>
              <w:t>Executive Order S-06-06 (</w:t>
            </w:r>
            <w:r w:rsidRPr="00DE185C">
              <w:rPr>
                <w:rFonts w:ascii="Calibri" w:eastAsia="Times New Roman" w:hAnsi="Calibri" w:cs="Times New Roman"/>
                <w:i/>
                <w:iCs/>
                <w:color w:val="000000"/>
                <w:sz w:val="20"/>
                <w:szCs w:val="20"/>
              </w:rPr>
              <w:t>Bioenergy Action Plan</w:t>
            </w:r>
            <w:r w:rsidRPr="00DE185C">
              <w:rPr>
                <w:rFonts w:ascii="Calibri" w:eastAsia="Times New Roman" w:hAnsi="Calibri" w:cs="Times New Roman"/>
                <w:color w:val="000000"/>
                <w:sz w:val="20"/>
                <w:szCs w:val="20"/>
              </w:rPr>
              <w:t>)</w:t>
            </w:r>
          </w:p>
        </w:tc>
        <w:tc>
          <w:tcPr>
            <w:tcW w:w="1159" w:type="dxa"/>
            <w:shd w:val="clear" w:color="auto" w:fill="B6DDE8" w:themeFill="accent5" w:themeFillTint="66"/>
            <w:vAlign w:val="center"/>
          </w:tcPr>
          <w:p w:rsidR="00434341" w:rsidRPr="00DE185C" w:rsidRDefault="00434341"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2006</w:t>
            </w:r>
          </w:p>
        </w:tc>
        <w:tc>
          <w:tcPr>
            <w:tcW w:w="2340" w:type="dxa"/>
            <w:shd w:val="clear" w:color="auto" w:fill="B6DDE8" w:themeFill="accent5" w:themeFillTint="66"/>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In-State Biofuels Production</w:t>
            </w:r>
          </w:p>
        </w:tc>
        <w:tc>
          <w:tcPr>
            <w:tcW w:w="3528" w:type="dxa"/>
            <w:shd w:val="clear" w:color="auto" w:fill="B6DDE8" w:themeFill="accent5" w:themeFillTint="66"/>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Produce in California 20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of biofuels used in state by 2010, 40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2020, and 75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2050 </w:t>
            </w:r>
          </w:p>
        </w:tc>
      </w:tr>
      <w:tr w:rsidR="00434341" w:rsidRPr="00DE185C" w:rsidTr="006909BC">
        <w:trPr>
          <w:trHeight w:val="336"/>
        </w:trPr>
        <w:tc>
          <w:tcPr>
            <w:tcW w:w="2456"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Low Carbon Fuel Standard</w:t>
            </w:r>
          </w:p>
        </w:tc>
        <w:tc>
          <w:tcPr>
            <w:tcW w:w="1159" w:type="dxa"/>
            <w:shd w:val="clear" w:color="auto" w:fill="DAEEF3" w:themeFill="accent5" w:themeFillTint="33"/>
            <w:vAlign w:val="center"/>
          </w:tcPr>
          <w:p w:rsidR="00434341" w:rsidRPr="00DE185C" w:rsidRDefault="00434341"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2007</w:t>
            </w:r>
          </w:p>
        </w:tc>
        <w:tc>
          <w:tcPr>
            <w:tcW w:w="2340"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GHG Reduction</w:t>
            </w:r>
          </w:p>
        </w:tc>
        <w:tc>
          <w:tcPr>
            <w:tcW w:w="3528" w:type="dxa"/>
            <w:shd w:val="clear" w:color="auto" w:fill="DAEEF3" w:themeFill="accent5" w:themeFillTint="33"/>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reduction in carbon intensity of transportation fuels in California by 2020 </w:t>
            </w:r>
          </w:p>
        </w:tc>
      </w:tr>
      <w:tr w:rsidR="00434341" w:rsidRPr="00DE185C" w:rsidTr="006909BC">
        <w:trPr>
          <w:trHeight w:val="336"/>
        </w:trPr>
        <w:tc>
          <w:tcPr>
            <w:tcW w:w="2456" w:type="dxa"/>
            <w:shd w:val="clear" w:color="auto" w:fill="B6DDE8" w:themeFill="accent5" w:themeFillTint="66"/>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Executive Order B-16-2012</w:t>
            </w:r>
          </w:p>
        </w:tc>
        <w:tc>
          <w:tcPr>
            <w:tcW w:w="1159" w:type="dxa"/>
            <w:shd w:val="clear" w:color="auto" w:fill="B6DDE8" w:themeFill="accent5" w:themeFillTint="66"/>
            <w:vAlign w:val="center"/>
          </w:tcPr>
          <w:p w:rsidR="00434341" w:rsidRPr="00DE185C" w:rsidRDefault="00434341" w:rsidP="006A6036">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2012</w:t>
            </w:r>
          </w:p>
        </w:tc>
        <w:tc>
          <w:tcPr>
            <w:tcW w:w="2340" w:type="dxa"/>
            <w:shd w:val="clear" w:color="auto" w:fill="B6DDE8" w:themeFill="accent5" w:themeFillTint="66"/>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ZEV Mandate</w:t>
            </w:r>
          </w:p>
        </w:tc>
        <w:tc>
          <w:tcPr>
            <w:tcW w:w="3528" w:type="dxa"/>
            <w:shd w:val="clear" w:color="auto" w:fill="B6DDE8" w:themeFill="accent5" w:themeFillTint="66"/>
            <w:vAlign w:val="center"/>
            <w:hideMark/>
          </w:tcPr>
          <w:p w:rsidR="00434341" w:rsidRPr="00DE185C" w:rsidRDefault="00434341"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Accommodate 1 million zero-emission vehicles by 2020 and 1.5 million by 2025 </w:t>
            </w:r>
          </w:p>
        </w:tc>
      </w:tr>
      <w:tr w:rsidR="00434341" w:rsidRPr="00DE185C" w:rsidTr="006909BC">
        <w:trPr>
          <w:trHeight w:val="197"/>
        </w:trPr>
        <w:tc>
          <w:tcPr>
            <w:tcW w:w="2456" w:type="dxa"/>
            <w:shd w:val="clear" w:color="auto" w:fill="DAEEF3" w:themeFill="accent5" w:themeFillTint="33"/>
            <w:vAlign w:val="center"/>
          </w:tcPr>
          <w:p w:rsidR="00434341" w:rsidRPr="00DE185C" w:rsidRDefault="00434341" w:rsidP="00AF46E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Governor Brown Inaugural Address 2015</w:t>
            </w:r>
          </w:p>
        </w:tc>
        <w:tc>
          <w:tcPr>
            <w:tcW w:w="1159" w:type="dxa"/>
            <w:shd w:val="clear" w:color="auto" w:fill="DAEEF3" w:themeFill="accent5" w:themeFillTint="33"/>
            <w:vAlign w:val="center"/>
          </w:tcPr>
          <w:p w:rsidR="00434341" w:rsidRPr="00DE185C" w:rsidRDefault="00434341" w:rsidP="00AF46E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2015</w:t>
            </w:r>
          </w:p>
        </w:tc>
        <w:tc>
          <w:tcPr>
            <w:tcW w:w="2340" w:type="dxa"/>
            <w:shd w:val="clear" w:color="auto" w:fill="DAEEF3" w:themeFill="accent5" w:themeFillTint="33"/>
            <w:vAlign w:val="center"/>
          </w:tcPr>
          <w:p w:rsidR="00434341" w:rsidRPr="00DE185C" w:rsidRDefault="00434341" w:rsidP="00AF46E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Petroleum Reduction</w:t>
            </w:r>
          </w:p>
        </w:tc>
        <w:tc>
          <w:tcPr>
            <w:tcW w:w="3528" w:type="dxa"/>
            <w:shd w:val="clear" w:color="auto" w:fill="DAEEF3" w:themeFill="accent5" w:themeFillTint="33"/>
            <w:vAlign w:val="center"/>
          </w:tcPr>
          <w:p w:rsidR="00434341" w:rsidRPr="00DE185C" w:rsidRDefault="00434341" w:rsidP="00AF46E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Reduce petroleum use in cars and trucks by up to 50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within the next 15 years (2030)</w:t>
            </w:r>
          </w:p>
        </w:tc>
      </w:tr>
    </w:tbl>
    <w:p w:rsidR="00524127" w:rsidRPr="00DE185C" w:rsidRDefault="00524127" w:rsidP="00524127">
      <w:pPr>
        <w:rPr>
          <w:rFonts w:ascii="Calibri" w:eastAsiaTheme="majorEastAsia" w:hAnsi="Calibri"/>
          <w:sz w:val="18"/>
        </w:rPr>
      </w:pPr>
      <w:r w:rsidRPr="00DE185C">
        <w:rPr>
          <w:rFonts w:ascii="Calibri" w:eastAsiaTheme="majorEastAsia" w:hAnsi="Calibri"/>
          <w:sz w:val="18"/>
        </w:rPr>
        <w:t xml:space="preserve">Chart adapted from Smith, Charles, &amp; McKinney, Jim. 2013. </w:t>
      </w:r>
      <w:r w:rsidRPr="00DE185C">
        <w:rPr>
          <w:rFonts w:ascii="Calibri" w:eastAsiaTheme="majorEastAsia" w:hAnsi="Calibri"/>
          <w:i/>
          <w:sz w:val="18"/>
        </w:rPr>
        <w:t>2014-2015 Investment Plan Update for the Alternative and Renewable Fuel and Vehicle Technology Program</w:t>
      </w:r>
      <w:r w:rsidRPr="00DE185C">
        <w:rPr>
          <w:rFonts w:ascii="Calibri" w:eastAsiaTheme="majorEastAsia" w:hAnsi="Calibri"/>
          <w:sz w:val="18"/>
        </w:rPr>
        <w:t xml:space="preserve"> Commission Report (CEC-600-2013-003-CMF)</w:t>
      </w:r>
    </w:p>
    <w:p w:rsidR="00524127" w:rsidRPr="00DE185C" w:rsidRDefault="00524127" w:rsidP="00524127">
      <w:pPr>
        <w:rPr>
          <w:rFonts w:ascii="Calibri" w:eastAsiaTheme="majorEastAsia" w:hAnsi="Calibri"/>
        </w:rPr>
      </w:pPr>
      <w:r w:rsidRPr="00DE185C">
        <w:rPr>
          <w:rFonts w:ascii="Calibri" w:eastAsiaTheme="majorEastAsia" w:hAnsi="Calibri"/>
        </w:rPr>
        <w:t xml:space="preserve">These State and Federal </w:t>
      </w:r>
      <w:r w:rsidR="00A66BD8" w:rsidRPr="00DE185C">
        <w:rPr>
          <w:rFonts w:ascii="Calibri" w:eastAsiaTheme="majorEastAsia" w:hAnsi="Calibri"/>
        </w:rPr>
        <w:t xml:space="preserve">strategies set policies and </w:t>
      </w:r>
      <w:r w:rsidRPr="00DE185C">
        <w:rPr>
          <w:rFonts w:ascii="Calibri" w:eastAsiaTheme="majorEastAsia" w:hAnsi="Calibri"/>
        </w:rPr>
        <w:t>goals for the increase</w:t>
      </w:r>
      <w:r w:rsidR="00A66BD8" w:rsidRPr="00DE185C">
        <w:rPr>
          <w:rFonts w:ascii="Calibri" w:eastAsiaTheme="majorEastAsia" w:hAnsi="Calibri"/>
        </w:rPr>
        <w:t>d</w:t>
      </w:r>
      <w:r w:rsidRPr="00DE185C">
        <w:rPr>
          <w:rFonts w:ascii="Calibri" w:eastAsiaTheme="majorEastAsia" w:hAnsi="Calibri"/>
        </w:rPr>
        <w:t xml:space="preserve"> </w:t>
      </w:r>
      <w:r w:rsidR="00A66BD8" w:rsidRPr="00DE185C">
        <w:rPr>
          <w:rFonts w:ascii="Calibri" w:eastAsiaTheme="majorEastAsia" w:hAnsi="Calibri"/>
        </w:rPr>
        <w:t xml:space="preserve">use </w:t>
      </w:r>
      <w:r w:rsidRPr="00DE185C">
        <w:rPr>
          <w:rFonts w:ascii="Calibri" w:eastAsiaTheme="majorEastAsia" w:hAnsi="Calibri"/>
        </w:rPr>
        <w:t>of alternative fuel</w:t>
      </w:r>
      <w:r w:rsidR="00A66BD8" w:rsidRPr="00DE185C">
        <w:rPr>
          <w:rFonts w:ascii="Calibri" w:eastAsiaTheme="majorEastAsia" w:hAnsi="Calibri"/>
        </w:rPr>
        <w:t>s</w:t>
      </w:r>
      <w:r w:rsidRPr="00DE185C">
        <w:rPr>
          <w:rFonts w:ascii="Calibri" w:eastAsiaTheme="majorEastAsia" w:hAnsi="Calibri"/>
        </w:rPr>
        <w:t xml:space="preserve"> in California</w:t>
      </w:r>
      <w:r w:rsidR="006A6036" w:rsidRPr="00DE185C">
        <w:rPr>
          <w:rFonts w:ascii="Calibri" w:eastAsiaTheme="majorEastAsia" w:hAnsi="Calibri"/>
        </w:rPr>
        <w:t>.</w:t>
      </w:r>
      <w:r w:rsidR="001575B7" w:rsidRPr="00DE185C">
        <w:rPr>
          <w:rFonts w:ascii="Calibri" w:eastAsiaTheme="majorEastAsia" w:hAnsi="Calibri"/>
        </w:rPr>
        <w:t xml:space="preserve"> Significantly, AB 32, which seeks to </w:t>
      </w:r>
      <w:r w:rsidR="00E67E87" w:rsidRPr="00DE185C">
        <w:rPr>
          <w:rFonts w:ascii="Calibri" w:eastAsiaTheme="majorEastAsia" w:hAnsi="Calibri"/>
        </w:rPr>
        <w:t>reduce GHG emissions to 1990 levels by 2020, has played a large role in setting the stage for California to address climate change</w:t>
      </w:r>
      <w:r w:rsidR="005B2283">
        <w:rPr>
          <w:rFonts w:ascii="Calibri" w:eastAsiaTheme="majorEastAsia" w:hAnsi="Calibri"/>
        </w:rPr>
        <w:t xml:space="preserve"> and</w:t>
      </w:r>
      <w:r w:rsidR="007F0896" w:rsidRPr="00DE185C">
        <w:rPr>
          <w:rFonts w:ascii="Calibri" w:eastAsiaTheme="majorEastAsia" w:hAnsi="Calibri"/>
        </w:rPr>
        <w:t xml:space="preserve"> </w:t>
      </w:r>
      <w:r w:rsidR="00F95BB2" w:rsidRPr="00DE185C">
        <w:rPr>
          <w:rFonts w:ascii="Calibri" w:eastAsiaTheme="majorEastAsia" w:hAnsi="Calibri"/>
        </w:rPr>
        <w:t xml:space="preserve">has created </w:t>
      </w:r>
      <w:r w:rsidR="005B2283">
        <w:rPr>
          <w:rFonts w:ascii="Calibri" w:eastAsiaTheme="majorEastAsia" w:hAnsi="Calibri"/>
        </w:rPr>
        <w:t xml:space="preserve">a strong </w:t>
      </w:r>
      <w:r w:rsidR="00F95BB2" w:rsidRPr="00DE185C">
        <w:rPr>
          <w:rFonts w:ascii="Calibri" w:eastAsiaTheme="majorEastAsia" w:hAnsi="Calibri"/>
        </w:rPr>
        <w:t>impetus for future GHG</w:t>
      </w:r>
      <w:r w:rsidR="00AE42DE">
        <w:rPr>
          <w:rFonts w:ascii="Calibri" w:eastAsiaTheme="majorEastAsia" w:hAnsi="Calibri"/>
        </w:rPr>
        <w:t>-</w:t>
      </w:r>
      <w:r w:rsidR="00F95BB2" w:rsidRPr="00DE185C">
        <w:rPr>
          <w:rFonts w:ascii="Calibri" w:eastAsiaTheme="majorEastAsia" w:hAnsi="Calibri"/>
        </w:rPr>
        <w:t>reduc</w:t>
      </w:r>
      <w:r w:rsidR="00AE42DE">
        <w:rPr>
          <w:rFonts w:ascii="Calibri" w:eastAsiaTheme="majorEastAsia" w:hAnsi="Calibri"/>
        </w:rPr>
        <w:t>ing</w:t>
      </w:r>
      <w:r w:rsidR="00F95BB2" w:rsidRPr="00DE185C">
        <w:rPr>
          <w:rFonts w:ascii="Calibri" w:eastAsiaTheme="majorEastAsia" w:hAnsi="Calibri"/>
        </w:rPr>
        <w:t xml:space="preserve"> legislation. </w:t>
      </w:r>
    </w:p>
    <w:p w:rsidR="002923F7" w:rsidRPr="00DE185C" w:rsidRDefault="002923F7" w:rsidP="00524127">
      <w:pPr>
        <w:rPr>
          <w:rFonts w:ascii="Calibri" w:eastAsiaTheme="majorEastAsia" w:hAnsi="Calibri"/>
        </w:rPr>
      </w:pPr>
      <w:r w:rsidRPr="00DE185C">
        <w:rPr>
          <w:rFonts w:ascii="Calibri" w:eastAsiaTheme="majorEastAsia" w:hAnsi="Calibri"/>
        </w:rPr>
        <w:t xml:space="preserve">According to the Public Agency </w:t>
      </w:r>
      <w:r w:rsidR="002461F8" w:rsidRPr="00DE185C">
        <w:rPr>
          <w:rFonts w:ascii="Calibri" w:eastAsiaTheme="majorEastAsia" w:hAnsi="Calibri"/>
        </w:rPr>
        <w:t xml:space="preserve">Survey, </w:t>
      </w:r>
      <w:r w:rsidRPr="00DE185C">
        <w:rPr>
          <w:rFonts w:ascii="Calibri" w:eastAsiaTheme="majorEastAsia" w:hAnsi="Calibri"/>
        </w:rPr>
        <w:t>the majority of respondents were familiar with AB 32, which</w:t>
      </w:r>
      <w:r w:rsidR="000A5134">
        <w:rPr>
          <w:rFonts w:ascii="Calibri" w:eastAsiaTheme="majorEastAsia" w:hAnsi="Calibri"/>
        </w:rPr>
        <w:t xml:space="preserve"> may be due to their experience with GHG inventories and climate action planning.</w:t>
      </w:r>
      <w:r w:rsidRPr="00DE185C">
        <w:rPr>
          <w:rFonts w:ascii="Calibri" w:eastAsiaTheme="majorEastAsia" w:hAnsi="Calibri"/>
        </w:rPr>
        <w:t xml:space="preserve"> Despite the majority of respondents </w:t>
      </w:r>
      <w:r w:rsidR="00974D7B">
        <w:rPr>
          <w:rFonts w:ascii="Calibri" w:eastAsiaTheme="majorEastAsia" w:hAnsi="Calibri"/>
        </w:rPr>
        <w:t xml:space="preserve">having </w:t>
      </w:r>
      <w:r w:rsidR="00553A5A">
        <w:rPr>
          <w:rFonts w:ascii="Calibri" w:eastAsiaTheme="majorEastAsia" w:hAnsi="Calibri"/>
        </w:rPr>
        <w:t>identif</w:t>
      </w:r>
      <w:r w:rsidR="00974D7B">
        <w:rPr>
          <w:rFonts w:ascii="Calibri" w:eastAsiaTheme="majorEastAsia" w:hAnsi="Calibri"/>
        </w:rPr>
        <w:t>ied</w:t>
      </w:r>
      <w:r w:rsidR="00553A5A">
        <w:rPr>
          <w:rFonts w:ascii="Calibri" w:eastAsiaTheme="majorEastAsia" w:hAnsi="Calibri"/>
        </w:rPr>
        <w:t xml:space="preserve"> themselves as </w:t>
      </w:r>
      <w:r w:rsidRPr="00DE185C">
        <w:rPr>
          <w:rFonts w:ascii="Calibri" w:eastAsiaTheme="majorEastAsia" w:hAnsi="Calibri"/>
        </w:rPr>
        <w:t xml:space="preserve"> “extremely familiar” with electricity (see </w:t>
      </w:r>
      <w:r w:rsidR="006C18DE" w:rsidRPr="00DE185C">
        <w:rPr>
          <w:rFonts w:ascii="Calibri" w:eastAsiaTheme="majorEastAsia" w:hAnsi="Calibri"/>
        </w:rPr>
        <w:t>F</w:t>
      </w:r>
      <w:r w:rsidRPr="00DE185C">
        <w:rPr>
          <w:rFonts w:ascii="Calibri" w:eastAsiaTheme="majorEastAsia" w:hAnsi="Calibri"/>
        </w:rPr>
        <w:t xml:space="preserve">igure </w:t>
      </w:r>
      <w:r w:rsidR="001B3DF5">
        <w:rPr>
          <w:rFonts w:ascii="Calibri" w:eastAsiaTheme="majorEastAsia" w:hAnsi="Calibri"/>
        </w:rPr>
        <w:t>4</w:t>
      </w:r>
      <w:r w:rsidR="002461F8" w:rsidRPr="00DE185C">
        <w:rPr>
          <w:rFonts w:ascii="Calibri" w:eastAsiaTheme="majorEastAsia" w:hAnsi="Calibri"/>
        </w:rPr>
        <w:t>-1</w:t>
      </w:r>
      <w:r w:rsidRPr="00DE185C">
        <w:rPr>
          <w:rFonts w:ascii="Calibri" w:eastAsiaTheme="majorEastAsia" w:hAnsi="Calibri"/>
        </w:rPr>
        <w:t xml:space="preserve">), fewer than </w:t>
      </w:r>
      <w:r w:rsidR="00553A5A">
        <w:rPr>
          <w:rFonts w:ascii="Calibri" w:eastAsiaTheme="majorEastAsia" w:hAnsi="Calibri"/>
        </w:rPr>
        <w:t>one</w:t>
      </w:r>
      <w:r w:rsidRPr="00DE185C">
        <w:rPr>
          <w:rFonts w:ascii="Calibri" w:eastAsiaTheme="majorEastAsia" w:hAnsi="Calibri"/>
        </w:rPr>
        <w:t xml:space="preserve"> third of respondents </w:t>
      </w:r>
      <w:r w:rsidR="00553A5A">
        <w:rPr>
          <w:rFonts w:ascii="Calibri" w:eastAsiaTheme="majorEastAsia" w:hAnsi="Calibri"/>
        </w:rPr>
        <w:t>we</w:t>
      </w:r>
      <w:r w:rsidRPr="00DE185C">
        <w:rPr>
          <w:rFonts w:ascii="Calibri" w:eastAsiaTheme="majorEastAsia" w:hAnsi="Calibri"/>
        </w:rPr>
        <w:t>re familiar with Governor Executive Order B-16-2012, which set a goal to build enough infrastructure to accommodate one million electric vehicles on state roads by 2020.</w:t>
      </w:r>
    </w:p>
    <w:p w:rsidR="002440D4" w:rsidRPr="00DE185C" w:rsidRDefault="002440D4" w:rsidP="00EE0C47">
      <w:pPr>
        <w:pStyle w:val="Subtitle"/>
      </w:pPr>
      <w:bookmarkStart w:id="11" w:name="_Toc416259271"/>
      <w:r w:rsidRPr="00DE185C">
        <w:t>Figure 4-1: Public Agency Respondents’ Familiarity with State Strategies</w:t>
      </w:r>
      <w:bookmarkEnd w:id="11"/>
    </w:p>
    <w:p w:rsidR="002923F7" w:rsidRPr="00DE185C" w:rsidRDefault="000C1CD5" w:rsidP="00524127">
      <w:pPr>
        <w:rPr>
          <w:rFonts w:ascii="Calibri" w:eastAsiaTheme="majorEastAsia" w:hAnsi="Calibri"/>
        </w:rPr>
      </w:pPr>
      <w:r>
        <w:rPr>
          <w:rFonts w:ascii="Calibri" w:eastAsiaTheme="majorEastAsia" w:hAnsi="Calibri"/>
          <w:noProof/>
          <w:lang w:eastAsia="zh-CN"/>
        </w:rPr>
        <w:drawing>
          <wp:inline distT="0" distB="0" distL="0" distR="0" wp14:anchorId="38F7307E" wp14:editId="7E0C2E15">
            <wp:extent cx="5934710" cy="245872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710" cy="2458720"/>
                    </a:xfrm>
                    <a:prstGeom prst="rect">
                      <a:avLst/>
                    </a:prstGeom>
                    <a:noFill/>
                    <a:ln>
                      <a:noFill/>
                    </a:ln>
                  </pic:spPr>
                </pic:pic>
              </a:graphicData>
            </a:graphic>
          </wp:inline>
        </w:drawing>
      </w:r>
    </w:p>
    <w:p w:rsidR="00F95BB2" w:rsidRPr="006909BC" w:rsidRDefault="00EE0C47" w:rsidP="006909BC">
      <w:pPr>
        <w:pStyle w:val="Heading3"/>
        <w:rPr>
          <w:rFonts w:ascii="Calibri" w:hAnsi="Calibri"/>
          <w:noProof/>
        </w:rPr>
      </w:pPr>
      <w:bookmarkStart w:id="12" w:name="_Toc410636694"/>
      <w:bookmarkStart w:id="13" w:name="_Toc410636693"/>
      <w:bookmarkStart w:id="14" w:name="_Toc410636692"/>
      <w:r w:rsidRPr="00DE185C">
        <w:rPr>
          <w:noProof/>
        </w:rPr>
        <w:br w:type="page"/>
      </w:r>
      <w:bookmarkStart w:id="15" w:name="_Toc416259235"/>
      <w:r w:rsidR="00F95BB2" w:rsidRPr="006909BC">
        <w:rPr>
          <w:rFonts w:ascii="Calibri" w:hAnsi="Calibri"/>
          <w:noProof/>
        </w:rPr>
        <w:t>Status of the State Alternative Fuels Plan</w:t>
      </w:r>
      <w:bookmarkEnd w:id="12"/>
      <w:bookmarkEnd w:id="15"/>
      <w:r w:rsidR="00F95BB2" w:rsidRPr="006909BC">
        <w:rPr>
          <w:rFonts w:ascii="Calibri" w:hAnsi="Calibri"/>
          <w:noProof/>
        </w:rPr>
        <w:t xml:space="preserve"> </w:t>
      </w:r>
    </w:p>
    <w:p w:rsidR="003219A2" w:rsidRDefault="00F95BB2" w:rsidP="00F95BB2">
      <w:pPr>
        <w:rPr>
          <w:rFonts w:ascii="Calibri" w:hAnsi="Calibri"/>
        </w:rPr>
      </w:pPr>
      <w:r w:rsidRPr="00DE185C">
        <w:rPr>
          <w:rFonts w:ascii="Calibri" w:hAnsi="Calibri"/>
          <w:noProof/>
        </w:rPr>
        <w:t xml:space="preserve">AB 1007, the </w:t>
      </w:r>
      <w:r w:rsidRPr="00DE185C">
        <w:rPr>
          <w:rFonts w:ascii="Calibri" w:hAnsi="Calibri"/>
          <w:i/>
          <w:noProof/>
        </w:rPr>
        <w:t>State Alternative Fuels Plan</w:t>
      </w:r>
      <w:r w:rsidR="00D94938">
        <w:rPr>
          <w:rFonts w:ascii="Calibri" w:hAnsi="Calibri"/>
          <w:noProof/>
        </w:rPr>
        <w:t>, called for the</w:t>
      </w:r>
      <w:r w:rsidRPr="00DE185C">
        <w:rPr>
          <w:rFonts w:ascii="Calibri" w:hAnsi="Calibri"/>
          <w:noProof/>
        </w:rPr>
        <w:t xml:space="preserve"> reduc</w:t>
      </w:r>
      <w:r w:rsidR="00D94938">
        <w:rPr>
          <w:rFonts w:ascii="Calibri" w:hAnsi="Calibri"/>
          <w:noProof/>
        </w:rPr>
        <w:t>tion of</w:t>
      </w:r>
      <w:r w:rsidRPr="00DE185C">
        <w:rPr>
          <w:rFonts w:ascii="Calibri" w:hAnsi="Calibri"/>
          <w:noProof/>
        </w:rPr>
        <w:t xml:space="preserve"> petroleum use to 15</w:t>
      </w:r>
      <w:r w:rsidR="005D6853">
        <w:rPr>
          <w:rFonts w:ascii="Calibri" w:hAnsi="Calibri"/>
          <w:noProof/>
        </w:rPr>
        <w:t xml:space="preserve"> percent</w:t>
      </w:r>
      <w:r w:rsidRPr="00DE185C">
        <w:rPr>
          <w:rFonts w:ascii="Calibri" w:hAnsi="Calibri"/>
          <w:noProof/>
        </w:rPr>
        <w:t xml:space="preserve"> below 2003 levels by 2020</w:t>
      </w:r>
      <w:r w:rsidR="005B7F6E">
        <w:rPr>
          <w:rFonts w:ascii="Calibri" w:hAnsi="Calibri"/>
          <w:noProof/>
        </w:rPr>
        <w:t xml:space="preserve"> and 30 percent by 2030</w:t>
      </w:r>
      <w:r w:rsidR="00D94938">
        <w:rPr>
          <w:rFonts w:ascii="Calibri" w:hAnsi="Calibri"/>
          <w:noProof/>
        </w:rPr>
        <w:t>. In order to achieve this target</w:t>
      </w:r>
      <w:r w:rsidRPr="00DE185C">
        <w:rPr>
          <w:rFonts w:ascii="Calibri" w:hAnsi="Calibri"/>
          <w:noProof/>
        </w:rPr>
        <w:t xml:space="preserve">, </w:t>
      </w:r>
      <w:r w:rsidRPr="00DE185C">
        <w:rPr>
          <w:rFonts w:ascii="Calibri" w:hAnsi="Calibri"/>
        </w:rPr>
        <w:t>alternative fuel use need</w:t>
      </w:r>
      <w:r w:rsidR="00D94938">
        <w:rPr>
          <w:rFonts w:ascii="Calibri" w:hAnsi="Calibri"/>
        </w:rPr>
        <w:t>ed</w:t>
      </w:r>
      <w:r w:rsidRPr="00DE185C">
        <w:rPr>
          <w:rFonts w:ascii="Calibri" w:hAnsi="Calibri"/>
        </w:rPr>
        <w:t xml:space="preserve"> to make up 9</w:t>
      </w:r>
      <w:r w:rsidR="005D6853">
        <w:rPr>
          <w:rFonts w:ascii="Calibri" w:hAnsi="Calibri"/>
        </w:rPr>
        <w:t xml:space="preserve"> percent</w:t>
      </w:r>
      <w:r w:rsidRPr="00DE185C">
        <w:rPr>
          <w:rFonts w:ascii="Calibri" w:hAnsi="Calibri"/>
        </w:rPr>
        <w:t xml:space="preserve"> of California’s total fuel consumption by 2012, 11</w:t>
      </w:r>
      <w:r w:rsidR="005D6853">
        <w:rPr>
          <w:rFonts w:ascii="Calibri" w:hAnsi="Calibri"/>
        </w:rPr>
        <w:t xml:space="preserve"> percent</w:t>
      </w:r>
      <w:r w:rsidRPr="00DE185C">
        <w:rPr>
          <w:rFonts w:ascii="Calibri" w:hAnsi="Calibri"/>
        </w:rPr>
        <w:t xml:space="preserve"> by 2017, and 26</w:t>
      </w:r>
      <w:r w:rsidR="005D6853">
        <w:rPr>
          <w:rFonts w:ascii="Calibri" w:hAnsi="Calibri"/>
        </w:rPr>
        <w:t xml:space="preserve"> percent</w:t>
      </w:r>
      <w:r w:rsidRPr="00DE185C">
        <w:rPr>
          <w:rFonts w:ascii="Calibri" w:hAnsi="Calibri"/>
        </w:rPr>
        <w:t xml:space="preserve"> by 2022.</w:t>
      </w:r>
    </w:p>
    <w:p w:rsidR="00F95BB2" w:rsidRPr="00DE185C" w:rsidRDefault="00B620C6" w:rsidP="00F95BB2">
      <w:pPr>
        <w:rPr>
          <w:rFonts w:ascii="Calibri" w:hAnsi="Calibri"/>
        </w:rPr>
      </w:pPr>
      <w:r w:rsidRPr="00DE185C">
        <w:rPr>
          <w:rFonts w:ascii="Calibri" w:hAnsi="Calibri"/>
          <w:noProof/>
        </w:rPr>
        <w:t xml:space="preserve">The </w:t>
      </w:r>
      <w:r w:rsidRPr="00DE185C">
        <w:rPr>
          <w:rFonts w:ascii="Calibri" w:hAnsi="Calibri"/>
          <w:i/>
          <w:noProof/>
        </w:rPr>
        <w:t>Integrated Energy Policy Report</w:t>
      </w:r>
      <w:r w:rsidRPr="00DE185C">
        <w:rPr>
          <w:rFonts w:ascii="Calibri" w:hAnsi="Calibri"/>
          <w:noProof/>
        </w:rPr>
        <w:t xml:space="preserve"> (IEPR) is developed by the Energy Commission and adopted every two years and an update</w:t>
      </w:r>
      <w:r>
        <w:rPr>
          <w:rFonts w:ascii="Calibri" w:hAnsi="Calibri"/>
          <w:noProof/>
        </w:rPr>
        <w:t xml:space="preserve">d </w:t>
      </w:r>
      <w:r w:rsidRPr="00DE185C">
        <w:rPr>
          <w:rFonts w:ascii="Calibri" w:hAnsi="Calibri"/>
          <w:noProof/>
        </w:rPr>
        <w:t>in alternate years. It provides recommendations for ways California can reduce its GHG emissions while satisfying its energy needs</w:t>
      </w:r>
      <w:r>
        <w:rPr>
          <w:rFonts w:ascii="Calibri" w:hAnsi="Calibri"/>
          <w:noProof/>
        </w:rPr>
        <w:t xml:space="preserve">. </w:t>
      </w:r>
      <w:r w:rsidR="00F95BB2" w:rsidRPr="00DE185C">
        <w:rPr>
          <w:rFonts w:ascii="Calibri" w:hAnsi="Calibri"/>
        </w:rPr>
        <w:t xml:space="preserve">According to </w:t>
      </w:r>
      <w:r w:rsidR="00DB0BDB">
        <w:rPr>
          <w:rFonts w:ascii="Calibri" w:hAnsi="Calibri"/>
        </w:rPr>
        <w:t xml:space="preserve">IEPR research </w:t>
      </w:r>
      <w:r w:rsidR="00F95BB2" w:rsidRPr="00DE185C">
        <w:rPr>
          <w:rFonts w:ascii="Calibri" w:hAnsi="Calibri"/>
        </w:rPr>
        <w:t xml:space="preserve"> presented at an Energy Commission Joint Lead Commissioner Workshop on Transportation Energy Demand Forecasts, Gary </w:t>
      </w:r>
      <w:proofErr w:type="spellStart"/>
      <w:r w:rsidR="00F95BB2" w:rsidRPr="00DE185C">
        <w:rPr>
          <w:rFonts w:ascii="Calibri" w:hAnsi="Calibri"/>
        </w:rPr>
        <w:t>Yowell</w:t>
      </w:r>
      <w:proofErr w:type="spellEnd"/>
      <w:r w:rsidR="00F95BB2" w:rsidRPr="00DE185C">
        <w:rPr>
          <w:rFonts w:ascii="Calibri" w:hAnsi="Calibri"/>
        </w:rPr>
        <w:t>, Associate Automotive Standards Engineer at the Energy Commission, surmise</w:t>
      </w:r>
      <w:r w:rsidR="003219A2">
        <w:rPr>
          <w:rFonts w:ascii="Calibri" w:hAnsi="Calibri"/>
        </w:rPr>
        <w:t>d</w:t>
      </w:r>
      <w:r w:rsidR="00F95BB2" w:rsidRPr="00DE185C">
        <w:rPr>
          <w:rFonts w:ascii="Calibri" w:hAnsi="Calibri"/>
        </w:rPr>
        <w:t xml:space="preserve"> that, despite its progress, the State has missed AB 1007’s 2012 milestone</w:t>
      </w:r>
      <w:r w:rsidR="003219A2">
        <w:rPr>
          <w:rFonts w:ascii="Calibri" w:hAnsi="Calibri"/>
        </w:rPr>
        <w:t xml:space="preserve"> </w:t>
      </w:r>
      <w:r w:rsidR="00F95BB2" w:rsidRPr="00DE185C">
        <w:rPr>
          <w:rFonts w:ascii="Calibri" w:hAnsi="Calibri"/>
        </w:rPr>
        <w:t>by 360 million gallons, and, should this trend continue, the</w:t>
      </w:r>
      <w:r w:rsidR="009426DA">
        <w:rPr>
          <w:rFonts w:ascii="Calibri" w:hAnsi="Calibri"/>
        </w:rPr>
        <w:t xml:space="preserve"> </w:t>
      </w:r>
      <w:r w:rsidR="00F95BB2" w:rsidRPr="00DE185C">
        <w:rPr>
          <w:rFonts w:ascii="Calibri" w:hAnsi="Calibri"/>
        </w:rPr>
        <w:t xml:space="preserve">2017 milestone </w:t>
      </w:r>
      <w:r w:rsidR="003219A2">
        <w:rPr>
          <w:rFonts w:ascii="Calibri" w:hAnsi="Calibri"/>
        </w:rPr>
        <w:t>would</w:t>
      </w:r>
      <w:r w:rsidR="003219A2" w:rsidRPr="00DE185C">
        <w:rPr>
          <w:rFonts w:ascii="Calibri" w:hAnsi="Calibri"/>
        </w:rPr>
        <w:t xml:space="preserve"> </w:t>
      </w:r>
      <w:r w:rsidR="00F95BB2" w:rsidRPr="00DE185C">
        <w:rPr>
          <w:rFonts w:ascii="Calibri" w:hAnsi="Calibri"/>
        </w:rPr>
        <w:t>be short by 360 to 550 million gallons.</w:t>
      </w:r>
      <w:r w:rsidR="00F95BB2" w:rsidRPr="00DE185C">
        <w:rPr>
          <w:rStyle w:val="FootnoteReference"/>
          <w:rFonts w:ascii="Calibri" w:hAnsi="Calibri"/>
        </w:rPr>
        <w:footnoteReference w:id="6"/>
      </w:r>
      <w:r w:rsidR="00F95BB2" w:rsidRPr="00DE185C">
        <w:rPr>
          <w:rFonts w:ascii="Calibri" w:hAnsi="Calibri"/>
        </w:rPr>
        <w:t xml:space="preserve"> Estimates by the Environmental Defense Fund also show that California’s growing fuel diversity will still only </w:t>
      </w:r>
      <w:r w:rsidR="003219A2">
        <w:rPr>
          <w:rFonts w:ascii="Calibri" w:hAnsi="Calibri"/>
        </w:rPr>
        <w:t>comprise</w:t>
      </w:r>
      <w:r w:rsidR="00F95BB2" w:rsidRPr="00DE185C">
        <w:rPr>
          <w:rFonts w:ascii="Calibri" w:hAnsi="Calibri"/>
        </w:rPr>
        <w:t xml:space="preserve"> 15 - 24</w:t>
      </w:r>
      <w:r w:rsidR="005D6853">
        <w:rPr>
          <w:rFonts w:ascii="Calibri" w:hAnsi="Calibri"/>
        </w:rPr>
        <w:t xml:space="preserve"> percent</w:t>
      </w:r>
      <w:r w:rsidR="00F95BB2" w:rsidRPr="00DE185C">
        <w:rPr>
          <w:rFonts w:ascii="Calibri" w:hAnsi="Calibri"/>
        </w:rPr>
        <w:t xml:space="preserve"> of the fuel market in 2020.</w:t>
      </w:r>
      <w:r w:rsidR="00F95BB2" w:rsidRPr="00DE185C">
        <w:rPr>
          <w:rStyle w:val="FootnoteReference"/>
          <w:rFonts w:ascii="Calibri" w:hAnsi="Calibri"/>
        </w:rPr>
        <w:footnoteReference w:id="7"/>
      </w:r>
      <w:r w:rsidR="00F95BB2" w:rsidRPr="00DE185C">
        <w:rPr>
          <w:rFonts w:ascii="Calibri" w:hAnsi="Calibri"/>
        </w:rPr>
        <w:t xml:space="preserve"> A depiction of this trend can be seen in Figure </w:t>
      </w:r>
      <w:r w:rsidR="007F0896" w:rsidRPr="00DE185C">
        <w:rPr>
          <w:rFonts w:ascii="Calibri" w:hAnsi="Calibri"/>
        </w:rPr>
        <w:t>4-2</w:t>
      </w:r>
      <w:r w:rsidR="00F95BB2" w:rsidRPr="00DE185C">
        <w:rPr>
          <w:rFonts w:ascii="Calibri" w:hAnsi="Calibri"/>
        </w:rPr>
        <w:t xml:space="preserve">. </w:t>
      </w:r>
    </w:p>
    <w:p w:rsidR="00F95BB2" w:rsidRPr="00DE185C" w:rsidRDefault="00F95BB2" w:rsidP="00F95BB2">
      <w:pPr>
        <w:rPr>
          <w:rFonts w:ascii="Calibri" w:hAnsi="Calibri"/>
        </w:rPr>
      </w:pPr>
      <w:r w:rsidRPr="00DE185C">
        <w:rPr>
          <w:rFonts w:ascii="Calibri" w:hAnsi="Calibri"/>
        </w:rPr>
        <w:t xml:space="preserve">The 2014 IEPR notes that in order for California to meet its clean air goals, there needs to be continued transformation of the transportation system to accept zero- and near-zero emission technologies. It found that the California PEV market, growing hydrogen fuel cell market, and biofuels investment are making considerable progress to achieving the state’s climate goals. </w:t>
      </w:r>
    </w:p>
    <w:p w:rsidR="007F0896" w:rsidRPr="00DE185C" w:rsidRDefault="007F0896" w:rsidP="00F95BB2">
      <w:pPr>
        <w:rPr>
          <w:rFonts w:ascii="Calibri" w:hAnsi="Calibri"/>
        </w:rPr>
      </w:pPr>
    </w:p>
    <w:p w:rsidR="007F0896" w:rsidRPr="00DE185C" w:rsidRDefault="007F0896" w:rsidP="00F95BB2">
      <w:pPr>
        <w:rPr>
          <w:rFonts w:ascii="Calibri" w:hAnsi="Calibri"/>
        </w:rPr>
      </w:pPr>
    </w:p>
    <w:p w:rsidR="007F0896" w:rsidRPr="00DE185C" w:rsidRDefault="007F0896" w:rsidP="00F95BB2">
      <w:pPr>
        <w:rPr>
          <w:rFonts w:ascii="Calibri" w:hAnsi="Calibri"/>
        </w:rPr>
      </w:pPr>
    </w:p>
    <w:p w:rsidR="007F0896" w:rsidRPr="00DE185C" w:rsidRDefault="007F0896" w:rsidP="00F95BB2">
      <w:pPr>
        <w:rPr>
          <w:rFonts w:ascii="Calibri" w:hAnsi="Calibri"/>
        </w:rPr>
      </w:pPr>
      <w:bookmarkStart w:id="16" w:name="_GoBack"/>
      <w:bookmarkEnd w:id="16"/>
    </w:p>
    <w:p w:rsidR="007F0896" w:rsidRPr="00DE185C" w:rsidRDefault="007F0896" w:rsidP="007F0896">
      <w:pPr>
        <w:pStyle w:val="Subtitle"/>
      </w:pPr>
      <w:bookmarkStart w:id="17" w:name="_Toc416259272"/>
      <w:r w:rsidRPr="00DE185C">
        <w:t>Figure 4-2: Alternative Fuels and Alternative Fuel Vehicles Fuel Use as a Percent of Total Fuel Demand</w:t>
      </w:r>
      <w:bookmarkEnd w:id="17"/>
    </w:p>
    <w:p w:rsidR="007F0896" w:rsidRPr="00DE185C" w:rsidRDefault="007F0896" w:rsidP="007F0896">
      <w:pPr>
        <w:jc w:val="center"/>
        <w:rPr>
          <w:rFonts w:ascii="Calibri" w:hAnsi="Calibri"/>
        </w:rPr>
      </w:pPr>
      <w:r w:rsidRPr="00DE185C">
        <w:rPr>
          <w:rFonts w:ascii="Calibri" w:hAnsi="Calibri"/>
          <w:noProof/>
          <w:lang w:eastAsia="zh-CN"/>
        </w:rPr>
        <w:drawing>
          <wp:inline distT="0" distB="0" distL="0" distR="0" wp14:anchorId="3450D371" wp14:editId="1BCC5A9D">
            <wp:extent cx="4890977" cy="2976164"/>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6357"/>
                    <a:stretch/>
                  </pic:blipFill>
                  <pic:spPr bwMode="auto">
                    <a:xfrm>
                      <a:off x="0" y="0"/>
                      <a:ext cx="4895850" cy="2979129"/>
                    </a:xfrm>
                    <a:prstGeom prst="rect">
                      <a:avLst/>
                    </a:prstGeom>
                    <a:noFill/>
                    <a:ln>
                      <a:noFill/>
                    </a:ln>
                    <a:extLst>
                      <a:ext uri="{53640926-AAD7-44D8-BBD7-CCE9431645EC}">
                        <a14:shadowObscured xmlns:a14="http://schemas.microsoft.com/office/drawing/2010/main"/>
                      </a:ext>
                    </a:extLst>
                  </pic:spPr>
                </pic:pic>
              </a:graphicData>
            </a:graphic>
          </wp:inline>
        </w:drawing>
      </w:r>
      <w:r w:rsidRPr="00DE185C">
        <w:rPr>
          <w:rFonts w:ascii="Calibri" w:hAnsi="Calibri"/>
        </w:rPr>
        <w:br/>
      </w:r>
      <w:proofErr w:type="spellStart"/>
      <w:r w:rsidRPr="00DE185C">
        <w:rPr>
          <w:rFonts w:ascii="Calibri" w:hAnsi="Calibri"/>
          <w:sz w:val="18"/>
          <w:szCs w:val="20"/>
        </w:rPr>
        <w:t>Yowell</w:t>
      </w:r>
      <w:proofErr w:type="spellEnd"/>
      <w:r w:rsidRPr="00DE185C">
        <w:rPr>
          <w:rFonts w:ascii="Calibri" w:hAnsi="Calibri"/>
          <w:sz w:val="18"/>
          <w:szCs w:val="20"/>
        </w:rPr>
        <w:t>, Gary. “Historical Trends and Petroleum Reduction Technologies Performance.” Presentation, California Energy Commission, Sacramento, CA, August 21, 2013</w:t>
      </w:r>
    </w:p>
    <w:p w:rsidR="007F0896" w:rsidRPr="00DE185C" w:rsidRDefault="007F0896" w:rsidP="007F0896">
      <w:pPr>
        <w:rPr>
          <w:rFonts w:ascii="Calibri" w:hAnsi="Calibri"/>
        </w:rPr>
      </w:pPr>
      <w:r w:rsidRPr="00DE185C">
        <w:rPr>
          <w:rFonts w:ascii="Calibri" w:hAnsi="Calibri"/>
        </w:rPr>
        <w:t xml:space="preserve">The primary increase in alternative fuel use in California is the result of ethanol fuel substitution in gasoline (as a required oxygenate in reformulated gasoline). Figure 4-2 illustrates that despite aggressive strategies meant to reduce petroleum consumption and increase alternative fuel production and use, the state is still falling behind in reaching its milestones. </w:t>
      </w:r>
    </w:p>
    <w:p w:rsidR="007F0896" w:rsidRPr="00DE185C" w:rsidRDefault="007F0896" w:rsidP="00F95BB2">
      <w:pPr>
        <w:rPr>
          <w:rFonts w:ascii="Calibri" w:eastAsiaTheme="majorEastAsia" w:hAnsi="Calibri"/>
        </w:rPr>
      </w:pPr>
      <w:r w:rsidRPr="00DE185C">
        <w:rPr>
          <w:rFonts w:ascii="Calibri" w:eastAsiaTheme="majorEastAsia" w:hAnsi="Calibri"/>
        </w:rPr>
        <w:t>On January 5, 2015, Governor Jerry Brown delivered his inaugural address for his fourth term in office and reinforced California’s aggressive energy strategies. Specifically, the Governor called for reducing petroleum use in cars and trucks by 50</w:t>
      </w:r>
      <w:r w:rsidR="005D6853">
        <w:rPr>
          <w:rFonts w:ascii="Calibri" w:eastAsiaTheme="majorEastAsia" w:hAnsi="Calibri"/>
        </w:rPr>
        <w:t xml:space="preserve"> percent</w:t>
      </w:r>
      <w:r w:rsidRPr="00DE185C">
        <w:rPr>
          <w:rFonts w:ascii="Calibri" w:eastAsiaTheme="majorEastAsia" w:hAnsi="Calibri"/>
        </w:rPr>
        <w:t xml:space="preserve"> by 2030, keeping the State on track towards achieving the strategies established by AB 32. Satisfying AB 32 will come from a combination of increased investments in alternative fuels, reduced vehicle miles traveled, and increased fuel efficiency.</w:t>
      </w:r>
      <w:r w:rsidR="009426DA">
        <w:rPr>
          <w:rFonts w:ascii="Calibri" w:eastAsiaTheme="majorEastAsia" w:hAnsi="Calibri"/>
        </w:rPr>
        <w:t xml:space="preserve"> </w:t>
      </w:r>
    </w:p>
    <w:p w:rsidR="00F95BB2" w:rsidRPr="006909BC" w:rsidRDefault="00F95BB2" w:rsidP="006909BC">
      <w:pPr>
        <w:pStyle w:val="Heading3"/>
        <w:rPr>
          <w:rFonts w:ascii="Calibri" w:hAnsi="Calibri"/>
        </w:rPr>
      </w:pPr>
      <w:bookmarkStart w:id="18" w:name="_Toc416259236"/>
      <w:r w:rsidRPr="006909BC">
        <w:rPr>
          <w:rFonts w:ascii="Calibri" w:hAnsi="Calibri"/>
        </w:rPr>
        <w:t>Status of Bioenergy Action Plan</w:t>
      </w:r>
      <w:bookmarkEnd w:id="13"/>
      <w:bookmarkEnd w:id="18"/>
    </w:p>
    <w:p w:rsidR="00F95BB2" w:rsidRPr="00DE185C" w:rsidRDefault="00F95BB2" w:rsidP="00F95BB2">
      <w:pPr>
        <w:rPr>
          <w:rFonts w:ascii="Calibri" w:hAnsi="Calibri"/>
        </w:rPr>
      </w:pPr>
      <w:r w:rsidRPr="00DE185C">
        <w:rPr>
          <w:rFonts w:ascii="Calibri" w:hAnsi="Calibri"/>
        </w:rPr>
        <w:t>The State’s Bioenergy Action Plan (2006) identified three milestones for the State to reach: 20</w:t>
      </w:r>
      <w:r w:rsidR="005D6853">
        <w:rPr>
          <w:rFonts w:ascii="Calibri" w:hAnsi="Calibri"/>
        </w:rPr>
        <w:t xml:space="preserve"> percent</w:t>
      </w:r>
      <w:r w:rsidRPr="00DE185C">
        <w:rPr>
          <w:rFonts w:ascii="Calibri" w:hAnsi="Calibri"/>
        </w:rPr>
        <w:t xml:space="preserve"> of biofuels used in state should be produced within the state by 2010, 40</w:t>
      </w:r>
      <w:r w:rsidR="005D6853">
        <w:rPr>
          <w:rFonts w:ascii="Calibri" w:hAnsi="Calibri"/>
        </w:rPr>
        <w:t xml:space="preserve"> percent</w:t>
      </w:r>
      <w:r w:rsidRPr="00DE185C">
        <w:rPr>
          <w:rFonts w:ascii="Calibri" w:hAnsi="Calibri"/>
        </w:rPr>
        <w:t xml:space="preserve"> by 2020, and 75</w:t>
      </w:r>
      <w:r w:rsidR="005D6853">
        <w:rPr>
          <w:rFonts w:ascii="Calibri" w:hAnsi="Calibri"/>
        </w:rPr>
        <w:t xml:space="preserve"> percent</w:t>
      </w:r>
      <w:r w:rsidRPr="00DE185C">
        <w:rPr>
          <w:rFonts w:ascii="Calibri" w:hAnsi="Calibri"/>
        </w:rPr>
        <w:t xml:space="preserve"> by 2050. Despite the benefits of increasing biofuel production to the state’s economy and environment, the state </w:t>
      </w:r>
      <w:r w:rsidR="00CB6FF8">
        <w:rPr>
          <w:rFonts w:ascii="Calibri" w:hAnsi="Calibri"/>
        </w:rPr>
        <w:t xml:space="preserve">is </w:t>
      </w:r>
      <w:r w:rsidRPr="00DE185C">
        <w:rPr>
          <w:rFonts w:ascii="Calibri" w:hAnsi="Calibri"/>
        </w:rPr>
        <w:t>not on track to meet these goals.</w:t>
      </w:r>
    </w:p>
    <w:p w:rsidR="00F95BB2" w:rsidRPr="00DE185C" w:rsidRDefault="00F95BB2" w:rsidP="00F95BB2">
      <w:pPr>
        <w:rPr>
          <w:rFonts w:ascii="Calibri" w:hAnsi="Calibri"/>
        </w:rPr>
      </w:pPr>
      <w:r w:rsidRPr="00DE185C">
        <w:rPr>
          <w:rFonts w:ascii="Calibri" w:hAnsi="Calibri"/>
        </w:rPr>
        <w:t>The 2011 Bioenergy Action Plan Update (Action Plan) noted the difficulty of California reaching any biofuel consumption milestone</w:t>
      </w:r>
      <w:r w:rsidR="00DB0BDB">
        <w:rPr>
          <w:rFonts w:ascii="Calibri" w:hAnsi="Calibri"/>
        </w:rPr>
        <w:t xml:space="preserve"> due to siting and permitting, economics and financing issues, and regulatory issues</w:t>
      </w:r>
      <w:r w:rsidR="00E20367">
        <w:rPr>
          <w:rFonts w:ascii="Calibri" w:hAnsi="Calibri"/>
        </w:rPr>
        <w:t>.</w:t>
      </w:r>
      <w:r w:rsidRPr="00DE185C">
        <w:rPr>
          <w:rFonts w:ascii="Calibri" w:hAnsi="Calibri"/>
        </w:rPr>
        <w:t xml:space="preserve"> To meet Action Plan milestones, the state would need to produce up to 1.28 billion gallons of biofuel (850 million gallon gas equivalent, GGE)</w:t>
      </w:r>
      <w:r w:rsidRPr="00DE185C">
        <w:rPr>
          <w:rStyle w:val="FootnoteReference"/>
          <w:rFonts w:ascii="Calibri" w:hAnsi="Calibri"/>
        </w:rPr>
        <w:footnoteReference w:id="8"/>
      </w:r>
      <w:r w:rsidRPr="00DE185C">
        <w:rPr>
          <w:rFonts w:ascii="Calibri" w:hAnsi="Calibri"/>
        </w:rPr>
        <w:t xml:space="preserve"> per year by 2020.</w:t>
      </w:r>
      <w:r w:rsidRPr="00DE185C">
        <w:rPr>
          <w:rStyle w:val="FootnoteReference"/>
          <w:rFonts w:ascii="Calibri" w:hAnsi="Calibri"/>
        </w:rPr>
        <w:footnoteReference w:id="9"/>
      </w:r>
      <w:r w:rsidRPr="00DE185C">
        <w:rPr>
          <w:rFonts w:ascii="Calibri" w:hAnsi="Calibri"/>
        </w:rPr>
        <w:t xml:space="preserve"> In 2009, in-state biofuel production made up only 5.8</w:t>
      </w:r>
      <w:r w:rsidR="005D6853">
        <w:rPr>
          <w:rFonts w:ascii="Calibri" w:hAnsi="Calibri"/>
        </w:rPr>
        <w:t xml:space="preserve"> percent</w:t>
      </w:r>
      <w:r w:rsidRPr="00DE185C">
        <w:rPr>
          <w:rFonts w:ascii="Calibri" w:hAnsi="Calibri"/>
        </w:rPr>
        <w:t xml:space="preserve"> of California’s one billion GGE of biofuel demand, producing about 48 million GGE of biofuels.</w:t>
      </w:r>
      <w:r w:rsidRPr="00DE185C">
        <w:rPr>
          <w:rStyle w:val="FootnoteReference"/>
          <w:rFonts w:ascii="Calibri" w:hAnsi="Calibri"/>
        </w:rPr>
        <w:footnoteReference w:id="10"/>
      </w:r>
      <w:r w:rsidR="009426DA">
        <w:rPr>
          <w:rFonts w:ascii="Calibri" w:hAnsi="Calibri"/>
        </w:rPr>
        <w:t xml:space="preserve"> </w:t>
      </w:r>
    </w:p>
    <w:p w:rsidR="00F95BB2" w:rsidRPr="00DE185C" w:rsidRDefault="00F95BB2" w:rsidP="00F95BB2">
      <w:pPr>
        <w:rPr>
          <w:rFonts w:ascii="Calibri" w:hAnsi="Calibri"/>
          <w:noProof/>
        </w:rPr>
      </w:pPr>
      <w:r w:rsidRPr="00DE185C">
        <w:rPr>
          <w:rFonts w:ascii="Calibri" w:hAnsi="Calibri"/>
        </w:rPr>
        <w:t>As a result of the Action Plan’s recommendations for increased biofuel production, the University of California, San Diego received a three-year, $2 million research grant in 2011 from the Energy Commission to accelerate biofuel research.</w:t>
      </w:r>
      <w:r w:rsidRPr="00DE185C">
        <w:rPr>
          <w:rStyle w:val="FootnoteReference"/>
          <w:rFonts w:ascii="Calibri" w:hAnsi="Calibri"/>
        </w:rPr>
        <w:footnoteReference w:id="11"/>
      </w:r>
      <w:r w:rsidRPr="00DE185C">
        <w:rPr>
          <w:rFonts w:ascii="Calibri" w:hAnsi="Calibri"/>
        </w:rPr>
        <w:t xml:space="preserve"> The Energy Commission also has funded San Diego-based biodiesel producer New Leaf Biofuel to expand its production capacity to five million gallons per year. </w:t>
      </w:r>
    </w:p>
    <w:p w:rsidR="00524127" w:rsidRPr="006909BC" w:rsidRDefault="00524127" w:rsidP="006909BC">
      <w:pPr>
        <w:pStyle w:val="Heading3"/>
        <w:rPr>
          <w:rFonts w:ascii="Calibri" w:hAnsi="Calibri"/>
        </w:rPr>
      </w:pPr>
      <w:bookmarkStart w:id="19" w:name="_Toc416259237"/>
      <w:r w:rsidRPr="006909BC">
        <w:rPr>
          <w:rFonts w:ascii="Calibri" w:hAnsi="Calibri"/>
        </w:rPr>
        <w:t>Status of Executive Order B-16-2012</w:t>
      </w:r>
      <w:bookmarkEnd w:id="14"/>
      <w:bookmarkEnd w:id="19"/>
    </w:p>
    <w:p w:rsidR="00524127" w:rsidRPr="00DE185C" w:rsidRDefault="00524127" w:rsidP="00524127">
      <w:pPr>
        <w:rPr>
          <w:rFonts w:ascii="Calibri" w:eastAsiaTheme="majorEastAsia" w:hAnsi="Calibri"/>
        </w:rPr>
      </w:pPr>
      <w:r w:rsidRPr="00DE185C">
        <w:rPr>
          <w:rFonts w:ascii="Calibri" w:eastAsiaTheme="majorEastAsia" w:hAnsi="Calibri"/>
        </w:rPr>
        <w:t>Governor Brown</w:t>
      </w:r>
      <w:r w:rsidR="005F1EBC" w:rsidRPr="00DE185C">
        <w:rPr>
          <w:rFonts w:ascii="Calibri" w:eastAsiaTheme="majorEastAsia" w:hAnsi="Calibri"/>
        </w:rPr>
        <w:t xml:space="preserve"> issued</w:t>
      </w:r>
      <w:r w:rsidRPr="00DE185C">
        <w:rPr>
          <w:rFonts w:ascii="Calibri" w:eastAsiaTheme="majorEastAsia" w:hAnsi="Calibri"/>
        </w:rPr>
        <w:t xml:space="preserve"> Executive Order B-16-2012</w:t>
      </w:r>
      <w:r w:rsidR="005F1EBC" w:rsidRPr="00DE185C">
        <w:rPr>
          <w:rFonts w:ascii="Calibri" w:eastAsiaTheme="majorEastAsia" w:hAnsi="Calibri"/>
        </w:rPr>
        <w:t>, which</w:t>
      </w:r>
      <w:r w:rsidRPr="00DE185C">
        <w:rPr>
          <w:rFonts w:ascii="Calibri" w:eastAsiaTheme="majorEastAsia" w:hAnsi="Calibri"/>
        </w:rPr>
        <w:t xml:space="preserve"> set a goal </w:t>
      </w:r>
      <w:r w:rsidR="00752515" w:rsidRPr="00DE185C">
        <w:rPr>
          <w:rFonts w:ascii="Calibri" w:eastAsiaTheme="majorEastAsia" w:hAnsi="Calibri"/>
        </w:rPr>
        <w:t>to</w:t>
      </w:r>
      <w:r w:rsidRPr="00DE185C">
        <w:rPr>
          <w:rFonts w:ascii="Calibri" w:eastAsiaTheme="majorEastAsia" w:hAnsi="Calibri"/>
        </w:rPr>
        <w:t xml:space="preserve"> getting 1.5 million zero-emission vehicles (ZEV) on California’s roads by 2025. </w:t>
      </w:r>
      <w:r w:rsidR="00752515" w:rsidRPr="00DE185C">
        <w:rPr>
          <w:rFonts w:ascii="Calibri" w:eastAsiaTheme="majorEastAsia" w:hAnsi="Calibri"/>
        </w:rPr>
        <w:t xml:space="preserve">By the first quarter </w:t>
      </w:r>
      <w:r w:rsidRPr="00DE185C">
        <w:rPr>
          <w:rFonts w:ascii="Calibri" w:eastAsiaTheme="majorEastAsia" w:hAnsi="Calibri"/>
        </w:rPr>
        <w:t xml:space="preserve">of 2015, </w:t>
      </w:r>
      <w:r w:rsidR="00752515" w:rsidRPr="00DE185C">
        <w:rPr>
          <w:rFonts w:ascii="Calibri" w:eastAsiaTheme="majorEastAsia" w:hAnsi="Calibri"/>
        </w:rPr>
        <w:t xml:space="preserve">there were </w:t>
      </w:r>
      <w:r w:rsidR="00CB6FF8">
        <w:rPr>
          <w:rFonts w:ascii="Calibri" w:eastAsiaTheme="majorEastAsia" w:hAnsi="Calibri"/>
        </w:rPr>
        <w:t>approximately</w:t>
      </w:r>
      <w:r w:rsidRPr="00DE185C">
        <w:rPr>
          <w:rFonts w:ascii="Calibri" w:eastAsiaTheme="majorEastAsia" w:hAnsi="Calibri"/>
        </w:rPr>
        <w:t xml:space="preserve"> 100,000 ZEVs</w:t>
      </w:r>
      <w:r w:rsidR="00752515" w:rsidRPr="00DE185C">
        <w:rPr>
          <w:rFonts w:ascii="Calibri" w:eastAsiaTheme="majorEastAsia" w:hAnsi="Calibri"/>
        </w:rPr>
        <w:t xml:space="preserve"> in California;</w:t>
      </w:r>
      <w:r w:rsidRPr="00DE185C">
        <w:rPr>
          <w:rFonts w:ascii="Calibri" w:eastAsiaTheme="majorEastAsia" w:hAnsi="Calibri"/>
        </w:rPr>
        <w:t xml:space="preserve"> leaving ten years to add </w:t>
      </w:r>
      <w:r w:rsidR="00752515" w:rsidRPr="00DE185C">
        <w:rPr>
          <w:rFonts w:ascii="Calibri" w:eastAsiaTheme="majorEastAsia" w:hAnsi="Calibri"/>
        </w:rPr>
        <w:t xml:space="preserve">the remaining </w:t>
      </w:r>
      <w:r w:rsidRPr="00DE185C">
        <w:rPr>
          <w:rFonts w:ascii="Calibri" w:eastAsiaTheme="majorEastAsia" w:hAnsi="Calibri"/>
        </w:rPr>
        <w:t xml:space="preserve">million ZEVs. </w:t>
      </w:r>
    </w:p>
    <w:p w:rsidR="008C52C1" w:rsidRDefault="00524127">
      <w:pPr>
        <w:rPr>
          <w:rFonts w:ascii="Calibri" w:hAnsi="Calibri"/>
          <w:noProof/>
        </w:rPr>
      </w:pPr>
      <w:r w:rsidRPr="00DE185C">
        <w:rPr>
          <w:rFonts w:ascii="Calibri" w:hAnsi="Calibri"/>
          <w:noProof/>
        </w:rPr>
        <w:t>According to a 2013 Energy Commission workshop on Electricity and Natural Gas Demand Forecasts, at the current rate of growth, California will reach 1.5 million ZEV</w:t>
      </w:r>
      <w:r w:rsidR="00D22ACB" w:rsidRPr="00DE185C">
        <w:rPr>
          <w:rFonts w:ascii="Calibri" w:hAnsi="Calibri"/>
          <w:noProof/>
        </w:rPr>
        <w:t>s</w:t>
      </w:r>
      <w:r w:rsidRPr="00DE185C">
        <w:rPr>
          <w:rFonts w:ascii="Calibri" w:hAnsi="Calibri"/>
          <w:noProof/>
        </w:rPr>
        <w:t xml:space="preserve"> one year later than the goal date – in 2026.</w:t>
      </w:r>
      <w:r w:rsidRPr="00DE185C">
        <w:rPr>
          <w:rStyle w:val="FootnoteReference"/>
          <w:rFonts w:ascii="Calibri" w:hAnsi="Calibri"/>
          <w:noProof/>
        </w:rPr>
        <w:footnoteReference w:id="12"/>
      </w:r>
      <w:r w:rsidRPr="00DE185C">
        <w:rPr>
          <w:rFonts w:ascii="Calibri" w:hAnsi="Calibri"/>
          <w:noProof/>
        </w:rPr>
        <w:t xml:space="preserve"> This </w:t>
      </w:r>
      <w:r w:rsidR="00D22ACB" w:rsidRPr="00DE185C">
        <w:rPr>
          <w:rFonts w:ascii="Calibri" w:hAnsi="Calibri"/>
          <w:noProof/>
        </w:rPr>
        <w:t xml:space="preserve">forecast </w:t>
      </w:r>
      <w:r w:rsidRPr="00DE185C">
        <w:rPr>
          <w:rFonts w:ascii="Calibri" w:hAnsi="Calibri"/>
          <w:noProof/>
        </w:rPr>
        <w:t>is based on a “best case” scenario, which is depicted in red</w:t>
      </w:r>
      <w:r w:rsidR="00CB6FF8">
        <w:rPr>
          <w:rFonts w:ascii="Calibri" w:hAnsi="Calibri"/>
          <w:noProof/>
        </w:rPr>
        <w:t xml:space="preserve"> in </w:t>
      </w:r>
      <w:r w:rsidR="00D22ACB" w:rsidRPr="00DE185C">
        <w:rPr>
          <w:rFonts w:ascii="Calibri" w:hAnsi="Calibri"/>
          <w:noProof/>
        </w:rPr>
        <w:t xml:space="preserve">Figure </w:t>
      </w:r>
      <w:r w:rsidR="007F0896" w:rsidRPr="00DE185C">
        <w:rPr>
          <w:rFonts w:ascii="Calibri" w:hAnsi="Calibri"/>
          <w:noProof/>
        </w:rPr>
        <w:t>4-3</w:t>
      </w:r>
      <w:r w:rsidRPr="00DE185C">
        <w:rPr>
          <w:rFonts w:ascii="Calibri" w:hAnsi="Calibri"/>
          <w:noProof/>
        </w:rPr>
        <w:t>. It factors in forcasted crude oil prices</w:t>
      </w:r>
      <w:r w:rsidR="006A6036" w:rsidRPr="00DE185C">
        <w:rPr>
          <w:rFonts w:ascii="Calibri" w:hAnsi="Calibri"/>
          <w:noProof/>
        </w:rPr>
        <w:t>, future</w:t>
      </w:r>
      <w:r w:rsidR="008D09CD" w:rsidRPr="00DE185C">
        <w:rPr>
          <w:rFonts w:ascii="Calibri" w:hAnsi="Calibri"/>
          <w:noProof/>
        </w:rPr>
        <w:t xml:space="preserve"> </w:t>
      </w:r>
      <w:r w:rsidRPr="00DE185C">
        <w:rPr>
          <w:rFonts w:ascii="Calibri" w:hAnsi="Calibri"/>
          <w:noProof/>
        </w:rPr>
        <w:t xml:space="preserve">costs of light-duty vehicles, and </w:t>
      </w:r>
      <w:r w:rsidR="006A6036" w:rsidRPr="00DE185C">
        <w:rPr>
          <w:rFonts w:ascii="Calibri" w:hAnsi="Calibri"/>
          <w:noProof/>
        </w:rPr>
        <w:t xml:space="preserve">CAFE </w:t>
      </w:r>
      <w:r w:rsidRPr="00DE185C">
        <w:rPr>
          <w:rFonts w:ascii="Calibri" w:hAnsi="Calibri"/>
          <w:noProof/>
        </w:rPr>
        <w:t>standards.</w:t>
      </w:r>
      <w:r w:rsidR="0068516E" w:rsidRPr="00DE185C">
        <w:rPr>
          <w:rStyle w:val="FootnoteReference"/>
          <w:rFonts w:ascii="Calibri" w:hAnsi="Calibri"/>
          <w:noProof/>
        </w:rPr>
        <w:footnoteReference w:id="13"/>
      </w:r>
      <w:r w:rsidRPr="00DE185C">
        <w:rPr>
          <w:rFonts w:ascii="Calibri" w:hAnsi="Calibri"/>
          <w:noProof/>
        </w:rPr>
        <w:t xml:space="preserve"> If the trend in ZEV adoption continues </w:t>
      </w:r>
      <w:r w:rsidR="001125A7" w:rsidRPr="00DE185C">
        <w:rPr>
          <w:rFonts w:ascii="Calibri" w:hAnsi="Calibri"/>
          <w:noProof/>
        </w:rPr>
        <w:t xml:space="preserve">with </w:t>
      </w:r>
      <w:r w:rsidRPr="00DE185C">
        <w:rPr>
          <w:rFonts w:ascii="Calibri" w:hAnsi="Calibri"/>
          <w:noProof/>
        </w:rPr>
        <w:t>business</w:t>
      </w:r>
      <w:r w:rsidR="003267D3">
        <w:rPr>
          <w:rFonts w:ascii="Calibri" w:hAnsi="Calibri"/>
          <w:noProof/>
        </w:rPr>
        <w:t>–</w:t>
      </w:r>
      <w:r w:rsidRPr="00DE185C">
        <w:rPr>
          <w:rFonts w:ascii="Calibri" w:hAnsi="Calibri"/>
          <w:noProof/>
        </w:rPr>
        <w:t>as</w:t>
      </w:r>
      <w:r w:rsidR="003267D3">
        <w:rPr>
          <w:rFonts w:ascii="Calibri" w:hAnsi="Calibri"/>
          <w:noProof/>
        </w:rPr>
        <w:t>-</w:t>
      </w:r>
      <w:r w:rsidRPr="00DE185C">
        <w:rPr>
          <w:rFonts w:ascii="Calibri" w:hAnsi="Calibri"/>
          <w:noProof/>
        </w:rPr>
        <w:t>usual, the 1.5 million ZEV milestone will be reached much later.</w:t>
      </w:r>
    </w:p>
    <w:p w:rsidR="00524127" w:rsidRPr="00DE185C" w:rsidRDefault="00524127" w:rsidP="00524127">
      <w:pPr>
        <w:pStyle w:val="Subtitle"/>
        <w:rPr>
          <w:noProof/>
        </w:rPr>
      </w:pPr>
      <w:bookmarkStart w:id="20" w:name="_Toc416259273"/>
      <w:r w:rsidRPr="00DE185C">
        <w:rPr>
          <w:noProof/>
        </w:rPr>
        <w:t xml:space="preserve">Figure </w:t>
      </w:r>
      <w:r w:rsidR="002440D4" w:rsidRPr="00DE185C">
        <w:rPr>
          <w:noProof/>
        </w:rPr>
        <w:t>4-</w:t>
      </w:r>
      <w:r w:rsidR="007F0896" w:rsidRPr="00DE185C">
        <w:rPr>
          <w:noProof/>
        </w:rPr>
        <w:t>3</w:t>
      </w:r>
      <w:r w:rsidRPr="00DE185C">
        <w:rPr>
          <w:noProof/>
        </w:rPr>
        <w:t>: Preliminary Forecast of On-Road PEVs</w:t>
      </w:r>
      <w:bookmarkEnd w:id="20"/>
    </w:p>
    <w:p w:rsidR="00524127" w:rsidRPr="00DE185C" w:rsidRDefault="00524127" w:rsidP="00524127">
      <w:pPr>
        <w:jc w:val="center"/>
        <w:rPr>
          <w:rFonts w:ascii="Calibri" w:hAnsi="Calibri"/>
          <w:noProof/>
        </w:rPr>
      </w:pPr>
      <w:r w:rsidRPr="00DE185C">
        <w:rPr>
          <w:rFonts w:ascii="Calibri" w:hAnsi="Calibri"/>
          <w:noProof/>
          <w:lang w:eastAsia="zh-CN"/>
        </w:rPr>
        <w:drawing>
          <wp:inline distT="0" distB="0" distL="0" distR="0" wp14:anchorId="19C82B41" wp14:editId="2F301B2E">
            <wp:extent cx="4352925" cy="21799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b="3704"/>
                    <a:stretch/>
                  </pic:blipFill>
                  <pic:spPr bwMode="auto">
                    <a:xfrm>
                      <a:off x="0" y="0"/>
                      <a:ext cx="4352925" cy="2179956"/>
                    </a:xfrm>
                    <a:prstGeom prst="rect">
                      <a:avLst/>
                    </a:prstGeom>
                    <a:noFill/>
                    <a:ln>
                      <a:noFill/>
                    </a:ln>
                    <a:extLst>
                      <a:ext uri="{53640926-AAD7-44D8-BBD7-CCE9431645EC}">
                        <a14:shadowObscured xmlns:a14="http://schemas.microsoft.com/office/drawing/2010/main"/>
                      </a:ext>
                    </a:extLst>
                  </pic:spPr>
                </pic:pic>
              </a:graphicData>
            </a:graphic>
          </wp:inline>
        </w:drawing>
      </w:r>
    </w:p>
    <w:p w:rsidR="00524127" w:rsidRPr="00DE185C" w:rsidRDefault="00524127" w:rsidP="00524127">
      <w:pPr>
        <w:rPr>
          <w:rFonts w:ascii="Calibri" w:hAnsi="Calibri"/>
          <w:noProof/>
          <w:sz w:val="18"/>
        </w:rPr>
      </w:pPr>
      <w:r w:rsidRPr="00DE185C">
        <w:rPr>
          <w:rFonts w:ascii="Calibri" w:hAnsi="Calibri"/>
          <w:noProof/>
          <w:sz w:val="18"/>
        </w:rPr>
        <w:t>Graph adopted from Olson, Tim. “Preliminary Electric Vehicle Demand Forecast: Workshop on Revised Electricity and Natural Gas Demand Forecasts 2014-2024.” Presentation, California Energy Commission, October 1, 2013</w:t>
      </w:r>
    </w:p>
    <w:p w:rsidR="00524127" w:rsidRPr="00DE185C" w:rsidRDefault="001B764D" w:rsidP="00524127">
      <w:pPr>
        <w:pStyle w:val="Heading2"/>
        <w:rPr>
          <w:rFonts w:ascii="Calibri" w:hAnsi="Calibri"/>
        </w:rPr>
      </w:pPr>
      <w:bookmarkStart w:id="21" w:name="_Toc410636695"/>
      <w:bookmarkStart w:id="22" w:name="_Toc416259238"/>
      <w:r w:rsidRPr="00DE185C">
        <w:rPr>
          <w:rFonts w:ascii="Calibri" w:hAnsi="Calibri"/>
        </w:rPr>
        <w:t xml:space="preserve">Local </w:t>
      </w:r>
      <w:r w:rsidR="00524127" w:rsidRPr="00DE185C">
        <w:rPr>
          <w:rFonts w:ascii="Calibri" w:hAnsi="Calibri"/>
        </w:rPr>
        <w:t xml:space="preserve">Climate </w:t>
      </w:r>
      <w:r w:rsidRPr="00DE185C">
        <w:rPr>
          <w:rFonts w:ascii="Calibri" w:hAnsi="Calibri"/>
        </w:rPr>
        <w:t xml:space="preserve">and Sustainability </w:t>
      </w:r>
      <w:r w:rsidR="00524127" w:rsidRPr="00DE185C">
        <w:rPr>
          <w:rFonts w:ascii="Calibri" w:hAnsi="Calibri"/>
        </w:rPr>
        <w:t>Plan</w:t>
      </w:r>
      <w:r w:rsidRPr="00DE185C">
        <w:rPr>
          <w:rFonts w:ascii="Calibri" w:hAnsi="Calibri"/>
        </w:rPr>
        <w:t>ning</w:t>
      </w:r>
      <w:bookmarkEnd w:id="21"/>
      <w:bookmarkEnd w:id="22"/>
      <w:r w:rsidR="009426DA">
        <w:rPr>
          <w:rFonts w:ascii="Calibri" w:hAnsi="Calibri"/>
        </w:rPr>
        <w:t xml:space="preserve"> </w:t>
      </w:r>
    </w:p>
    <w:p w:rsidR="00D95E1A" w:rsidRPr="00DE185C" w:rsidRDefault="00524127" w:rsidP="00524127">
      <w:pPr>
        <w:rPr>
          <w:rFonts w:ascii="Calibri" w:eastAsiaTheme="majorEastAsia" w:hAnsi="Calibri"/>
        </w:rPr>
      </w:pPr>
      <w:r w:rsidRPr="00DE185C">
        <w:rPr>
          <w:rFonts w:ascii="Calibri" w:eastAsiaTheme="majorEastAsia" w:hAnsi="Calibri"/>
        </w:rPr>
        <w:t xml:space="preserve">In order for California to meet its alternative fuel goals, it is imperative that counties </w:t>
      </w:r>
      <w:r w:rsidR="001B764D" w:rsidRPr="00DE185C">
        <w:rPr>
          <w:rFonts w:ascii="Calibri" w:eastAsiaTheme="majorEastAsia" w:hAnsi="Calibri"/>
        </w:rPr>
        <w:t xml:space="preserve">and cities </w:t>
      </w:r>
      <w:r w:rsidRPr="00DE185C">
        <w:rPr>
          <w:rFonts w:ascii="Calibri" w:eastAsiaTheme="majorEastAsia" w:hAnsi="Calibri"/>
        </w:rPr>
        <w:t xml:space="preserve">try to achieve similar alternative fuel goals </w:t>
      </w:r>
      <w:r w:rsidR="001B764D" w:rsidRPr="00DE185C">
        <w:rPr>
          <w:rFonts w:ascii="Calibri" w:eastAsiaTheme="majorEastAsia" w:hAnsi="Calibri"/>
        </w:rPr>
        <w:t>at the local level</w:t>
      </w:r>
      <w:r w:rsidRPr="00DE185C">
        <w:rPr>
          <w:rFonts w:ascii="Calibri" w:eastAsiaTheme="majorEastAsia" w:hAnsi="Calibri"/>
        </w:rPr>
        <w:t>. Several municipalities in the San Diego region have completed energy</w:t>
      </w:r>
      <w:r w:rsidR="00692CC4">
        <w:rPr>
          <w:rFonts w:ascii="Calibri" w:eastAsiaTheme="majorEastAsia" w:hAnsi="Calibri"/>
        </w:rPr>
        <w:t xml:space="preserve"> or sustainability</w:t>
      </w:r>
      <w:r w:rsidRPr="00DE185C">
        <w:rPr>
          <w:rFonts w:ascii="Calibri" w:eastAsiaTheme="majorEastAsia" w:hAnsi="Calibri"/>
        </w:rPr>
        <w:t xml:space="preserve"> planning documents or Climate Action Plans (CAPs) which detail recommendations and strategies to reduce </w:t>
      </w:r>
      <w:r w:rsidR="00314801" w:rsidRPr="00DE185C">
        <w:rPr>
          <w:rFonts w:ascii="Calibri" w:eastAsiaTheme="majorEastAsia" w:hAnsi="Calibri"/>
        </w:rPr>
        <w:t>GHG</w:t>
      </w:r>
      <w:r w:rsidRPr="00DE185C">
        <w:rPr>
          <w:rFonts w:ascii="Calibri" w:eastAsiaTheme="majorEastAsia" w:hAnsi="Calibri"/>
        </w:rPr>
        <w:t xml:space="preserve"> emissions. </w:t>
      </w:r>
    </w:p>
    <w:p w:rsidR="002440D4" w:rsidRPr="00DE185C" w:rsidRDefault="00524127" w:rsidP="00524127">
      <w:pPr>
        <w:rPr>
          <w:rFonts w:ascii="Calibri" w:eastAsiaTheme="majorEastAsia" w:hAnsi="Calibri"/>
        </w:rPr>
      </w:pPr>
      <w:r w:rsidRPr="00DE185C">
        <w:rPr>
          <w:rFonts w:ascii="Calibri" w:eastAsiaTheme="majorEastAsia" w:hAnsi="Calibri"/>
        </w:rPr>
        <w:t>The following chart shows CAPs</w:t>
      </w:r>
      <w:r w:rsidR="00EE08C8" w:rsidRPr="00DE185C">
        <w:rPr>
          <w:rFonts w:ascii="Calibri" w:eastAsiaTheme="majorEastAsia" w:hAnsi="Calibri"/>
        </w:rPr>
        <w:t>, sustainability plans,</w:t>
      </w:r>
      <w:r w:rsidR="0068526D" w:rsidRPr="00DE185C">
        <w:rPr>
          <w:rFonts w:ascii="Calibri" w:eastAsiaTheme="majorEastAsia" w:hAnsi="Calibri"/>
        </w:rPr>
        <w:t xml:space="preserve"> energy roadmaps,</w:t>
      </w:r>
      <w:r w:rsidR="00EE08C8" w:rsidRPr="00DE185C">
        <w:rPr>
          <w:rFonts w:ascii="Calibri" w:eastAsiaTheme="majorEastAsia" w:hAnsi="Calibri"/>
        </w:rPr>
        <w:t xml:space="preserve"> or other</w:t>
      </w:r>
      <w:r w:rsidR="00A43D8A" w:rsidRPr="00DE185C">
        <w:rPr>
          <w:rFonts w:ascii="Calibri" w:eastAsiaTheme="majorEastAsia" w:hAnsi="Calibri"/>
        </w:rPr>
        <w:t xml:space="preserve"> energy</w:t>
      </w:r>
      <w:r w:rsidR="00EE08C8" w:rsidRPr="00DE185C">
        <w:rPr>
          <w:rFonts w:ascii="Calibri" w:eastAsiaTheme="majorEastAsia" w:hAnsi="Calibri"/>
        </w:rPr>
        <w:t xml:space="preserve"> planning documents</w:t>
      </w:r>
      <w:r w:rsidRPr="00DE185C">
        <w:rPr>
          <w:rFonts w:ascii="Calibri" w:eastAsiaTheme="majorEastAsia" w:hAnsi="Calibri"/>
        </w:rPr>
        <w:t xml:space="preserve"> that have been adopted by local jurisdictions and local public agencies in the San Diego region, </w:t>
      </w:r>
      <w:r w:rsidR="00574C09">
        <w:rPr>
          <w:rFonts w:ascii="Calibri" w:eastAsiaTheme="majorEastAsia" w:hAnsi="Calibri"/>
        </w:rPr>
        <w:t xml:space="preserve">and </w:t>
      </w:r>
      <w:r w:rsidRPr="00DE185C">
        <w:rPr>
          <w:rFonts w:ascii="Calibri" w:eastAsiaTheme="majorEastAsia" w:hAnsi="Calibri"/>
        </w:rPr>
        <w:t>address alternative fuel vehicles as a strategy to reduc</w:t>
      </w:r>
      <w:r w:rsidR="00314801" w:rsidRPr="00DE185C">
        <w:rPr>
          <w:rFonts w:ascii="Calibri" w:eastAsiaTheme="majorEastAsia" w:hAnsi="Calibri"/>
        </w:rPr>
        <w:t>ing</w:t>
      </w:r>
      <w:r w:rsidRPr="00DE185C">
        <w:rPr>
          <w:rFonts w:ascii="Calibri" w:eastAsiaTheme="majorEastAsia" w:hAnsi="Calibri"/>
        </w:rPr>
        <w:t xml:space="preserve"> </w:t>
      </w:r>
      <w:r w:rsidR="00314801" w:rsidRPr="00DE185C">
        <w:rPr>
          <w:rFonts w:ascii="Calibri" w:eastAsiaTheme="majorEastAsia" w:hAnsi="Calibri"/>
        </w:rPr>
        <w:t>GHG</w:t>
      </w:r>
      <w:r w:rsidRPr="00DE185C">
        <w:rPr>
          <w:rFonts w:ascii="Calibri" w:eastAsiaTheme="majorEastAsia" w:hAnsi="Calibri"/>
        </w:rPr>
        <w:t xml:space="preserve"> emissions. Though these </w:t>
      </w:r>
      <w:r w:rsidR="00EE08C8" w:rsidRPr="00DE185C">
        <w:rPr>
          <w:rFonts w:ascii="Calibri" w:eastAsiaTheme="majorEastAsia" w:hAnsi="Calibri"/>
        </w:rPr>
        <w:t xml:space="preserve">planning documents </w:t>
      </w:r>
      <w:r w:rsidRPr="00DE185C">
        <w:rPr>
          <w:rFonts w:ascii="Calibri" w:eastAsiaTheme="majorEastAsia" w:hAnsi="Calibri"/>
        </w:rPr>
        <w:t xml:space="preserve">vary in scope, they signal a commitment to increasing alternative fuel use. Of the region’s 18 cities and the County of San Diego, </w:t>
      </w:r>
      <w:r w:rsidR="00052D35" w:rsidRPr="00DE185C">
        <w:rPr>
          <w:rFonts w:ascii="Calibri" w:eastAsiaTheme="majorEastAsia" w:hAnsi="Calibri"/>
        </w:rPr>
        <w:t>many</w:t>
      </w:r>
      <w:r w:rsidRPr="00DE185C">
        <w:rPr>
          <w:rFonts w:ascii="Calibri" w:eastAsiaTheme="majorEastAsia" w:hAnsi="Calibri"/>
        </w:rPr>
        <w:t xml:space="preserve"> have </w:t>
      </w:r>
      <w:r w:rsidR="00A43D8A" w:rsidRPr="00DE185C">
        <w:rPr>
          <w:rFonts w:ascii="Calibri" w:eastAsiaTheme="majorEastAsia" w:hAnsi="Calibri"/>
        </w:rPr>
        <w:t xml:space="preserve">planning documents </w:t>
      </w:r>
      <w:r w:rsidRPr="00DE185C">
        <w:rPr>
          <w:rFonts w:ascii="Calibri" w:eastAsiaTheme="majorEastAsia" w:hAnsi="Calibri"/>
        </w:rPr>
        <w:t xml:space="preserve">that list alternative fuel vehicles and/or infrastructure as a means of reducing </w:t>
      </w:r>
      <w:r w:rsidR="00E6116A" w:rsidRPr="00DE185C">
        <w:rPr>
          <w:rFonts w:ascii="Calibri" w:eastAsiaTheme="majorEastAsia" w:hAnsi="Calibri"/>
        </w:rPr>
        <w:t>GHG</w:t>
      </w:r>
      <w:r w:rsidRPr="00DE185C">
        <w:rPr>
          <w:rFonts w:ascii="Calibri" w:eastAsiaTheme="majorEastAsia" w:hAnsi="Calibri"/>
        </w:rPr>
        <w:t xml:space="preserve"> emissions. </w:t>
      </w:r>
    </w:p>
    <w:p w:rsidR="008C5E54" w:rsidRPr="00DE185C" w:rsidRDefault="004460D9" w:rsidP="00524127">
      <w:pPr>
        <w:rPr>
          <w:rFonts w:ascii="Calibri" w:eastAsiaTheme="majorEastAsia" w:hAnsi="Calibri"/>
        </w:rPr>
      </w:pPr>
      <w:r w:rsidRPr="00DE185C">
        <w:rPr>
          <w:rFonts w:ascii="Calibri" w:hAnsi="Calibri"/>
          <w:noProof/>
          <w:lang w:eastAsia="zh-CN"/>
        </w:rPr>
        <mc:AlternateContent>
          <mc:Choice Requires="wpg">
            <w:drawing>
              <wp:anchor distT="0" distB="0" distL="114300" distR="114300" simplePos="0" relativeHeight="251722240" behindDoc="0" locked="0" layoutInCell="1" allowOverlap="1" wp14:anchorId="1F8F04D7" wp14:editId="4CB97828">
                <wp:simplePos x="0" y="0"/>
                <wp:positionH relativeFrom="column">
                  <wp:posOffset>3342640</wp:posOffset>
                </wp:positionH>
                <wp:positionV relativeFrom="paragraph">
                  <wp:posOffset>60960</wp:posOffset>
                </wp:positionV>
                <wp:extent cx="2944495" cy="1767840"/>
                <wp:effectExtent l="0" t="0" r="0" b="0"/>
                <wp:wrapSquare wrapText="bothSides"/>
                <wp:docPr id="58" name="Group 58"/>
                <wp:cNvGraphicFramePr/>
                <a:graphic xmlns:a="http://schemas.openxmlformats.org/drawingml/2006/main">
                  <a:graphicData uri="http://schemas.microsoft.com/office/word/2010/wordprocessingGroup">
                    <wpg:wgp>
                      <wpg:cNvGrpSpPr/>
                      <wpg:grpSpPr>
                        <a:xfrm>
                          <a:off x="0" y="0"/>
                          <a:ext cx="2944495" cy="1767840"/>
                          <a:chOff x="0" y="0"/>
                          <a:chExt cx="3115240" cy="1769633"/>
                        </a:xfrm>
                      </wpg:grpSpPr>
                      <wps:wsp>
                        <wps:cNvPr id="59" name="Text Box 2"/>
                        <wps:cNvSpPr txBox="1">
                          <a:spLocks noChangeArrowheads="1"/>
                        </wps:cNvSpPr>
                        <wps:spPr bwMode="auto">
                          <a:xfrm>
                            <a:off x="94453" y="59378"/>
                            <a:ext cx="3020787" cy="1445598"/>
                          </a:xfrm>
                          <a:prstGeom prst="rect">
                            <a:avLst/>
                          </a:prstGeom>
                          <a:noFill/>
                          <a:ln w="9525">
                            <a:noFill/>
                            <a:miter lim="800000"/>
                            <a:headEnd/>
                            <a:tailEnd/>
                          </a:ln>
                        </wps:spPr>
                        <wps:txbx>
                          <w:txbxContent>
                            <w:p w:rsidR="006909BC" w:rsidRPr="000536AB" w:rsidRDefault="006909BC" w:rsidP="004460D9">
                              <w:pPr>
                                <w:pStyle w:val="CVText"/>
                                <w:spacing w:line="240" w:lineRule="auto"/>
                                <w:ind w:right="360"/>
                                <w:jc w:val="center"/>
                                <w:rPr>
                                  <w:rFonts w:ascii="Calibri" w:hAnsi="Calibri"/>
                                  <w:i/>
                                  <w:color w:val="005997"/>
                                  <w:sz w:val="30"/>
                                  <w:szCs w:val="30"/>
                                  <w:lang w:val="en-US"/>
                                </w:rPr>
                              </w:pPr>
                            </w:p>
                            <w:p w:rsidR="006909BC" w:rsidRPr="006909BC" w:rsidRDefault="006909BC" w:rsidP="004460D9">
                              <w:pPr>
                                <w:pStyle w:val="CVText"/>
                                <w:spacing w:line="240" w:lineRule="auto"/>
                                <w:ind w:right="360"/>
                                <w:jc w:val="center"/>
                                <w:rPr>
                                  <w:rFonts w:ascii="Calibri" w:hAnsi="Calibri"/>
                                  <w:b/>
                                  <w:i/>
                                  <w:color w:val="005997"/>
                                  <w:sz w:val="28"/>
                                  <w:szCs w:val="30"/>
                                  <w:lang w:val="en-US"/>
                                </w:rPr>
                              </w:pPr>
                              <w:r w:rsidRPr="006909BC">
                                <w:rPr>
                                  <w:rFonts w:ascii="Calibri" w:hAnsi="Calibri"/>
                                  <w:b/>
                                  <w:i/>
                                  <w:color w:val="005997"/>
                                  <w:sz w:val="28"/>
                                  <w:szCs w:val="30"/>
                                  <w:lang w:val="en-US"/>
                                </w:rPr>
                                <w:t>Republic Services Chula Vista uses CNG and biodiesel trucks in support of the City’s climate goals.</w:t>
                              </w:r>
                            </w:p>
                          </w:txbxContent>
                        </wps:txbx>
                        <wps:bodyPr rot="0" vert="horz" wrap="square" lIns="91440" tIns="45720" rIns="91440" bIns="45720" anchor="t" anchorCtr="0">
                          <a:noAutofit/>
                        </wps:bodyPr>
                      </wps:wsp>
                      <pic:pic xmlns:pic="http://schemas.openxmlformats.org/drawingml/2006/picture">
                        <pic:nvPicPr>
                          <pic:cNvPr id="60" name="Picture 8" descr="3mm_Frame_CV_19April2010-01_Top.png"/>
                          <pic:cNvPicPr>
                            <a:picLocks noChangeAspect="1"/>
                          </pic:cNvPicPr>
                        </pic:nvPicPr>
                        <pic:blipFill rotWithShape="1">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1" name="Picture 8" descr="3mm_Frame_CV_19April2010-01_Top.png"/>
                          <pic:cNvPicPr>
                            <a:picLocks noChangeAspect="1"/>
                          </pic:cNvPicPr>
                        </pic:nvPicPr>
                        <pic:blipFill rotWithShape="1">
                          <a:blip r:embed="rId24"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1323066"/>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58" o:spid="_x0000_s1031" style="position:absolute;margin-left:263.2pt;margin-top:4.8pt;width:231.85pt;height:139.2pt;z-index:251722240;mso-width-relative:margin;mso-height-relative:margin" coordsize="31152,17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8qTaygQAANYOAAAOAAAAZHJzL2Uyb0RvYy54bWzsV21v2zYQ/j5g/0HQ&#10;d8V6lyVEKRwnKQq0a7Bm28eApmhLqCRyJB05G/bfd0dKjmMHWJEW+5QCdfim491zzz0nnb/bda3z&#10;wKRqeF+6wZnvOqynvGr6Ten+dnfjzV1HadJXpOU9K91Hptx3Fz//dD6IgoW85m3FpANGelUMonRr&#10;rUUxmylas46oMy5YD5trLjuiYSo3s0qSAax37Sz0/XQ2cFkJySlTClav7KZ7Yeyv14zqz+u1Ytpp&#10;Sxd80+ZXmt8V/s4uzkmxkUTUDR3dIK/woiNND5fuTV0RTZytbE5MdQ2VXPG1PqO8m/H1uqHMxADR&#10;BP5RNO8l3woTy6YYNmIPE0B7hNOrzdJfHm6l01Slm0CmetJBjsy1DswBnEFsCjjzXoov4laOCxs7&#10;w3h3a9nhX4jE2RlYH/ewsp12KCyGeRzHeeI6FPaCLM3m8Qg8rSE7J8/R+np8MgqCJITD05N5GkXo&#10;1Wy6eIb+7d0ZBJBIPeGkvg+nLzURzMCvEIMJp3zC6Q4DvOQ7J7RImVMIk6N3sAyxGkoo8ZHTr8rp&#10;+bIm/YYtpORDzUgF7gUmGvQbLsBHEXFVKDSyGj7xCtJBtpobQ0dYA6pJ5DqAaZJHmckWKSbMIz/0&#10;s3k2Igcnk9yc2CNHCiGVfs945+CgdCXUirmGPHxU2oI8HcEM9/ymaVtYJ0XbO0Pp5kmYmAcOdrpG&#10;Qzm3TVe6cx//YXykwGiv+8qMNWlaOwZf2h6SOUVsY9e71c4Q0mQa91a8egQ8JLfVC2oDg5rLv1xn&#10;gMotXfXnlkjmOu2HHjDNgxgpo80kTrIQJvJwZ3W4Q3oKpkpXu44dLrWRBxvyArBfNwaNJ09Gl4Fp&#10;F+eioQX8H0sTRieU+28Jg6f0Fv23Mth9k42OyK9b4YGKCKKbVdM2+tEoIqQEneofbhuKfMLJE3tT&#10;AMNWOWzjrQ6UfcUUhaCjrru/kSAB98vf74N8IWTToip5fnB/x8WZ6DeYzsmgNQ88augRwZUALk3k&#10;fn58htNnvq3aRiCzML9/NLo2VTfVDm6OsICDR6L3ArJWUK843Xas17ZDSNYCQrxXdSMUUKFg3YpV&#10;QPgPVQD1Ad1JQ5VBsL3lf7XlGnoVEsC0IbZspfNAoIEQSsGqJb2qScXscpzsia6IhqK1y0E0rQPR&#10;95bQLJbV3uhQQ80YGSDFwdVQyFCGeBpL2rSSv8P5wvfz8NJbJv7Si/3s2lvkceZl/nUW+/E8WAbL&#10;f7Akg7jYKgZZIe2VaEYAYfUEwhf7xthhbUcync0GZIoZYgGHjARPLsIS5skAJumvkHvstmEcm37r&#10;JVmWYQmWrhekoeusSjfO0tQqg9KSaVoDrQwzJjJYln2TDILp05YT+WkYZKP8xXGapNkI8SSik7S9&#10;Rv0w0r3ojSpmYDnJWBKlMWQs9RaLq8yL46u5d3kJo+XyOo+jII2T633GkFF8+LxSFMqy+v6kIaYv&#10;JAsLEIEdEYepBRsG450wOiHKC7V29CIGT/1/KgaF+6Zik4pBTb2p2MlL9Y9RMS/NQWCgmR3IWJb9&#10;IBWzrzSBP74qoaw8e48OohCEbFRKbAP4Nh35SZCgtuLb9Ju0WYkzwms6yLG0mS8E+HgyYjh+6OHX&#10;2eEcxoefoxf/Ag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LzEY&#10;zeAAAAAJAQAADwAAAGRycy9kb3ducmV2LnhtbEyPQUvDQBSE74L/YXmCN7ubaEOS5qWUop6KYCtI&#10;b9vsaxKa3Q3ZbZL+e9eTHocZZr4p1rPu2EiDa61BiBYCGJnKqtbUCF+Ht6cUmPPSKNlZQwg3crAu&#10;7+8KmSs7mU8a975mocS4XCI03vc5565qSEu3sD2Z4J3toKUPcqi5GuQUynXHYyESrmVrwkIje9o2&#10;VF32V43wPslp8xy9jrvLeXs7HpYf37uIEB8f5s0KmKfZ/4XhFz+gQxmYTvZqlGMdwjJOXkIUIUuA&#10;BT/LRATshBCnqQBeFvz/g/IHAAD//wMAUEsDBAoAAAAAAAAAIQAWpFLw+AEAAPgBAAAUAAAAZHJz&#10;L21lZGlhL2ltYWdlMS5wbmeJUE5HDQoaCgAAAA1JSERSAAAC4gAAAEYIAgAAAAaTZrkAAAABc1JH&#10;QgCuzhzpAAAABGdBTUEAALGPC/xhBQAAAAlwSFlzAAAh1QAAIdUBBJy0nQAAAY1JREFUeF7t1iFu&#10;hGAURtHufyHdEw6BxJGaSYCO+CeZpIoJTa44xzz1Pn2/vgEAMrZtO19kCgAQIlMAgCiZAgBEyRQA&#10;IEqmAABRMgUAiJIpAECUTAEAomQKABAlUwCAKJkCAETJFAAgSqYAAFEyBQCIkikAQJRMAQCiZAoA&#10;ECVTAIAomQIARMkUACBKpgAAUTIFAIi6J1OmafoBAPhjWZaRC9fdkynzPI8NAIA367qOXLhOpgAA&#10;/0imAABRMgUAiJIpAECUTAEAomQKABAlUwCAKJkCAETJFAAgSqYAAFEyBQCIkikAQJRMAQCiZAoA&#10;ECVTAIAomQIARMkUACBKpgAAUTIFAIiSKQBAlEwBAKJkCgAQJVMAgCiZAgBEyRQAIEqmAABRMgUA&#10;iJIpAECUTAEAomQKABAlUwCAKJkCAETJFAAgSqYAAFEyBQCIkikAQJRMAQCiZAoAECVTAICo2zLl&#10;8al938cGAMCb4zhGLlz3/B0rz0wZFwAgRqYAAFEyBQCIkikAQJRMAQCSzvMX2AWQWYiJVzcAAAAA&#10;SUVORK5CYIJQSwMECgAAAAAAAAAhABdtOJTyAQAA8gEAABQAAABkcnMvbWVkaWEvaW1hZ2UyLnBu&#10;Z4lQTkcNChoKAAAADUlIRFIAAALeAAAARggCAAAAdFwEDwAAAAFzUkdCAK7OHOkAAAAEZ0FNQQAA&#10;sY8L/GEFAAAACXBIWXMAACHVAAAh1QEEnLSdAAABh0lEQVR4Xu3WMWrDUAAFQd//IL6XSjUCFUGQ&#10;Qj8QfsCtgsALnmle9+p9PAEA3mrf9/FHmgAAbyZNAIAQaQIAhEgTACBEmgAAIdIEAAiRJgBAiDQB&#10;AEKkCQAQIk0AgBBpAgCESBMAIESaAAAh0gQACJEmAECINAEAQqQJABAiTQCAEGkCAIRIEwAgRJoA&#10;ACHSBAAIuSdNlmX5AgD4tW3bTITr7kmTdV3nBwDw8Y7jmIlwnTQBAG4mTQCAEGkCAIRIEwAgRJoA&#10;ACHSBAAIkSYAQIg0AQBCpAkAECJNAIAQaQIAhEgTACBEmgAAIdIEAAiRJgBAiDQBAEKkCQAQIk0A&#10;gBBpAgCESBMAIESaAAAh0gQACJEmAECINAEAQqQJABAiTQCAEGkCAIRIEwAgRJoAACHSBAAIkSYA&#10;QIg0AQBCpAkAECJNAIAQaQIAhEgTACBEmgAAIdIEAAiRJgBAyG1p8v1f53nODwCAMWYiXPcaFY+5&#10;AAAB0gQACJEmAECINAEAQqQJAJAxxg8KhLP8j/DWVwAAAABJRU5ErkJgglBLAQItABQABgAIAAAA&#10;IQCxgme2CgEAABMCAAATAAAAAAAAAAAAAAAAAAAAAABbQ29udGVudF9UeXBlc10ueG1sUEsBAi0A&#10;FAAGAAgAAAAhADj9If/WAAAAlAEAAAsAAAAAAAAAAAAAAAAAOwEAAF9yZWxzLy5yZWxzUEsBAi0A&#10;FAAGAAgAAAAhADrypNrKBAAA1g4AAA4AAAAAAAAAAAAAAAAAOgIAAGRycy9lMm9Eb2MueG1sUEsB&#10;Ai0AFAAGAAgAAAAhAC5s8ADFAAAApQEAABkAAAAAAAAAAAAAAAAAMAcAAGRycy9fcmVscy9lMm9E&#10;b2MueG1sLnJlbHNQSwECLQAUAAYACAAAACEALzEYzeAAAAAJAQAADwAAAAAAAAAAAAAAAAAsCAAA&#10;ZHJzL2Rvd25yZXYueG1sUEsBAi0ACgAAAAAAAAAhABakUvD4AQAA+AEAABQAAAAAAAAAAAAAAAAA&#10;OQkAAGRycy9tZWRpYS9pbWFnZTEucG5nUEsBAi0ACgAAAAAAAAAhABdtOJTyAQAA8gEAABQAAAAA&#10;AAAAAAAAAAAAYwsAAGRycy9tZWRpYS9pbWFnZTIucG5nUEsFBgAAAAAHAAcAvgEAAIcNAAAAAA==&#10;">
                <v:shape id="_x0000_s1032" type="#_x0000_t202" style="position:absolute;left:944;top:593;width:30208;height:14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6909BC" w:rsidRPr="000536AB" w:rsidRDefault="006909BC" w:rsidP="004460D9">
                        <w:pPr>
                          <w:pStyle w:val="CVText"/>
                          <w:spacing w:line="240" w:lineRule="auto"/>
                          <w:ind w:right="360"/>
                          <w:jc w:val="center"/>
                          <w:rPr>
                            <w:rFonts w:ascii="Calibri" w:hAnsi="Calibri"/>
                            <w:i/>
                            <w:color w:val="005997"/>
                            <w:sz w:val="30"/>
                            <w:szCs w:val="30"/>
                            <w:lang w:val="en-US"/>
                          </w:rPr>
                        </w:pPr>
                      </w:p>
                      <w:p w:rsidR="006909BC" w:rsidRPr="006909BC" w:rsidRDefault="006909BC" w:rsidP="004460D9">
                        <w:pPr>
                          <w:pStyle w:val="CVText"/>
                          <w:spacing w:line="240" w:lineRule="auto"/>
                          <w:ind w:right="360"/>
                          <w:jc w:val="center"/>
                          <w:rPr>
                            <w:rFonts w:ascii="Calibri" w:hAnsi="Calibri"/>
                            <w:b/>
                            <w:i/>
                            <w:color w:val="005997"/>
                            <w:sz w:val="28"/>
                            <w:szCs w:val="30"/>
                            <w:lang w:val="en-US"/>
                          </w:rPr>
                        </w:pPr>
                        <w:r w:rsidRPr="006909BC">
                          <w:rPr>
                            <w:rFonts w:ascii="Calibri" w:hAnsi="Calibri"/>
                            <w:b/>
                            <w:i/>
                            <w:color w:val="005997"/>
                            <w:sz w:val="28"/>
                            <w:szCs w:val="30"/>
                            <w:lang w:val="en-US"/>
                          </w:rPr>
                          <w:t>Republic Services Chula Vista uses CNG and biodiesel trucks in support of the City’s climate goals.</w:t>
                        </w:r>
                      </w:p>
                    </w:txbxContent>
                  </v:textbox>
                </v:shape>
                <v:shape id="Picture 8" o:spid="_x0000_s1033"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brM7CAAAA2wAAAA8AAABkcnMvZG93bnJldi54bWxET8uKwjAU3Qv+Q7jC7GyqCxmqsQxFwcGF&#10;4wNmltfm2pZpbmoTtfr1ZiG4PJz3LO1MLa7UusqyglEUgyDOra64UHDYL4efIJxH1lhbJgV3cpDO&#10;+70ZJtreeEvXnS9ECGGXoILS+yaR0uUlGXSRbYgDd7KtQR9gW0jd4i2Em1qO43giDVYcGkpsKCsp&#10;/99djIJ18Xeh0eY7O9P4d/Gz3K7PD3dU6mPQfU1BeOr8W/xyr7SCSVgfvoQf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26zOwgAAANsAAAAPAAAAAAAAAAAAAAAAAJ8C&#10;AABkcnMvZG93bnJldi54bWxQSwUGAAAAAAQABAD3AAAAjgMAAAAA&#10;">
                  <v:imagedata r:id="rId25" o:title="3mm_Frame_CV_19April2010-01_Top" croptop="-37860f" cropbottom="3123f" cropleft="160f" cropright="-106f" recolortarget="#1d4f5c [1448]"/>
                  <v:path arrowok="t"/>
                </v:shape>
                <v:shape id="Picture 8" o:spid="_x0000_s1034" type="#_x0000_t75" alt="3mm_Frame_CV_19April2010-01_Top.png" style="position:absolute;top:13230;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LT2nAAAAA2wAAAA8AAABkcnMvZG93bnJldi54bWxEj0GLwjAUhO+C/yE8YW+augtFqlFEETwt&#10;rIrnR/NsS5uXmkRb/fVmQfA4zMw3zGLVm0bcyfnKsoLpJAFBnFtdcaHgdNyNZyB8QNbYWCYFD/Kw&#10;Wg4HC8y07fiP7odQiAhhn6GCMoQ2k9LnJRn0E9sSR+9incEQpSukdthFuGnkd5Kk0mDFcaHEljYl&#10;5fXhZhS4WX197PPf8/ZHU/c0bZ2STJT6GvXrOYhAffiE3+29VpBO4f9L/A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gtPacAAAADbAAAADwAAAAAAAAAAAAAAAACfAgAA&#10;ZHJzL2Rvd25yZXYueG1sUEsFBgAAAAAEAAQA9wAAAIwDAAAAAA==&#10;">
                  <v:imagedata r:id="rId26" o:title="3mm_Frame_CV_19April2010-01_Top" croptop="-37860f" cropbottom="3123f" cropleft="-452f" cropright="506f" recolortarget="#1d4f5c [1448]"/>
                  <v:path arrowok="t"/>
                </v:shape>
                <w10:wrap type="square"/>
              </v:group>
            </w:pict>
          </mc:Fallback>
        </mc:AlternateContent>
      </w:r>
      <w:r w:rsidR="002440D4" w:rsidRPr="00DE185C">
        <w:rPr>
          <w:rFonts w:ascii="Calibri" w:eastAsiaTheme="majorEastAsia" w:hAnsi="Calibri"/>
        </w:rPr>
        <w:t>According to the Public Agency Survey, 69</w:t>
      </w:r>
      <w:r w:rsidR="005D6853">
        <w:rPr>
          <w:rFonts w:ascii="Calibri" w:eastAsiaTheme="majorEastAsia" w:hAnsi="Calibri"/>
        </w:rPr>
        <w:t xml:space="preserve"> percent</w:t>
      </w:r>
      <w:r w:rsidR="002440D4" w:rsidRPr="00DE185C">
        <w:rPr>
          <w:rFonts w:ascii="Calibri" w:eastAsiaTheme="majorEastAsia" w:hAnsi="Calibri"/>
        </w:rPr>
        <w:t xml:space="preserve"> of respondents noted alternative fuels as a key substitute to conventional fuels in their CAP or other planning or fleet management policy document. </w:t>
      </w:r>
      <w:r w:rsidR="00052D35" w:rsidRPr="00DE185C">
        <w:rPr>
          <w:rFonts w:ascii="Calibri" w:eastAsiaTheme="majorEastAsia" w:hAnsi="Calibri"/>
        </w:rPr>
        <w:t xml:space="preserve">Table </w:t>
      </w:r>
      <w:r w:rsidR="002440D4" w:rsidRPr="00DE185C">
        <w:rPr>
          <w:rFonts w:ascii="Calibri" w:eastAsiaTheme="majorEastAsia" w:hAnsi="Calibri"/>
        </w:rPr>
        <w:t>4-2</w:t>
      </w:r>
      <w:r w:rsidR="00052D35" w:rsidRPr="00DE185C">
        <w:rPr>
          <w:rFonts w:ascii="Calibri" w:eastAsiaTheme="majorEastAsia" w:hAnsi="Calibri"/>
        </w:rPr>
        <w:t xml:space="preserve"> shows specific alternative fuel strategies that the region’s jurisdictions have either adopted or drafted in a planning document.</w:t>
      </w:r>
      <w:r w:rsidR="002440D4" w:rsidRPr="00DE185C">
        <w:rPr>
          <w:rFonts w:ascii="Calibri" w:eastAsiaTheme="majorEastAsia" w:hAnsi="Calibri"/>
        </w:rPr>
        <w:t xml:space="preserve"> The number of CAPs and other policy documents throughout the region that call for increased alternative fuel use as a means for reducing GHG emissions illustrates the demand for the toolkits to be develop by Refuel to help achieve these goals. </w:t>
      </w:r>
    </w:p>
    <w:p w:rsidR="008C5E54" w:rsidRPr="00DE185C" w:rsidRDefault="008C5E54">
      <w:pPr>
        <w:rPr>
          <w:rFonts w:ascii="Calibri" w:eastAsiaTheme="majorEastAsia" w:hAnsi="Calibri"/>
        </w:rPr>
      </w:pPr>
      <w:r w:rsidRPr="00DE185C">
        <w:rPr>
          <w:rFonts w:ascii="Calibri" w:eastAsiaTheme="majorEastAsia" w:hAnsi="Calibri"/>
        </w:rPr>
        <w:br w:type="page"/>
      </w:r>
    </w:p>
    <w:p w:rsidR="00524127" w:rsidRPr="00DE185C" w:rsidRDefault="00524127" w:rsidP="00C768E1">
      <w:pPr>
        <w:pStyle w:val="Heading5"/>
        <w:rPr>
          <w:rStyle w:val="BookTitle"/>
          <w:rFonts w:ascii="Calibri" w:hAnsi="Calibri"/>
          <w:b/>
          <w:bCs w:val="0"/>
          <w:spacing w:val="0"/>
        </w:rPr>
      </w:pPr>
      <w:bookmarkStart w:id="23" w:name="_Toc416259318"/>
      <w:r w:rsidRPr="00DE185C">
        <w:rPr>
          <w:rStyle w:val="BookTitle"/>
          <w:rFonts w:ascii="Calibri" w:hAnsi="Calibri"/>
          <w:b/>
          <w:bCs w:val="0"/>
          <w:spacing w:val="0"/>
        </w:rPr>
        <w:t xml:space="preserve">Table </w:t>
      </w:r>
      <w:r w:rsidR="002440D4" w:rsidRPr="00DE185C">
        <w:rPr>
          <w:rStyle w:val="BookTitle"/>
          <w:rFonts w:ascii="Calibri" w:hAnsi="Calibri"/>
          <w:b/>
          <w:bCs w:val="0"/>
          <w:spacing w:val="0"/>
        </w:rPr>
        <w:t>4-</w:t>
      </w:r>
      <w:r w:rsidRPr="00DE185C">
        <w:rPr>
          <w:rStyle w:val="BookTitle"/>
          <w:rFonts w:ascii="Calibri" w:hAnsi="Calibri"/>
          <w:b/>
          <w:bCs w:val="0"/>
          <w:spacing w:val="0"/>
        </w:rPr>
        <w:t xml:space="preserve">2: San Diego Regional </w:t>
      </w:r>
      <w:r w:rsidR="00A43D8A" w:rsidRPr="00DE185C">
        <w:rPr>
          <w:rStyle w:val="BookTitle"/>
          <w:rFonts w:ascii="Calibri" w:hAnsi="Calibri"/>
          <w:b/>
          <w:bCs w:val="0"/>
          <w:spacing w:val="0"/>
        </w:rPr>
        <w:t xml:space="preserve">Alternative Fuel </w:t>
      </w:r>
      <w:r w:rsidR="00052D35" w:rsidRPr="00DE185C">
        <w:rPr>
          <w:rStyle w:val="BookTitle"/>
          <w:rFonts w:ascii="Calibri" w:hAnsi="Calibri"/>
          <w:b/>
          <w:bCs w:val="0"/>
          <w:spacing w:val="0"/>
        </w:rPr>
        <w:t>Strategies</w:t>
      </w:r>
      <w:bookmarkEnd w:id="23"/>
    </w:p>
    <w:tbl>
      <w:tblPr>
        <w:tblW w:w="9090" w:type="dxa"/>
        <w:tblInd w:w="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79"/>
        <w:gridCol w:w="1300"/>
        <w:gridCol w:w="5911"/>
      </w:tblGrid>
      <w:tr w:rsidR="004E1D52" w:rsidRPr="00DE185C" w:rsidTr="004E1D52">
        <w:trPr>
          <w:trHeight w:val="288"/>
        </w:trPr>
        <w:tc>
          <w:tcPr>
            <w:tcW w:w="1879" w:type="dxa"/>
            <w:shd w:val="clear" w:color="auto" w:fill="314B5A"/>
            <w:noWrap/>
            <w:vAlign w:val="center"/>
            <w:hideMark/>
          </w:tcPr>
          <w:p w:rsidR="004E1D52" w:rsidRPr="00DE185C" w:rsidRDefault="004E1D52" w:rsidP="002E1FA2">
            <w:pPr>
              <w:spacing w:after="0" w:line="240" w:lineRule="auto"/>
              <w:jc w:val="center"/>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Jurisdiction</w:t>
            </w:r>
          </w:p>
        </w:tc>
        <w:tc>
          <w:tcPr>
            <w:tcW w:w="1300" w:type="dxa"/>
            <w:shd w:val="clear" w:color="auto" w:fill="314B5A"/>
            <w:noWrap/>
            <w:vAlign w:val="center"/>
            <w:hideMark/>
          </w:tcPr>
          <w:p w:rsidR="004E1D52" w:rsidRPr="00DE185C" w:rsidRDefault="004E1D52" w:rsidP="00F42E5B">
            <w:pPr>
              <w:spacing w:after="0" w:line="240" w:lineRule="auto"/>
              <w:jc w:val="center"/>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Year Adopted</w:t>
            </w:r>
          </w:p>
        </w:tc>
        <w:tc>
          <w:tcPr>
            <w:tcW w:w="5911" w:type="dxa"/>
            <w:shd w:val="clear" w:color="auto" w:fill="314B5A"/>
            <w:vAlign w:val="center"/>
            <w:hideMark/>
          </w:tcPr>
          <w:p w:rsidR="004E1D52" w:rsidRPr="00DE185C" w:rsidRDefault="004E1D52" w:rsidP="00EC7E9A">
            <w:pPr>
              <w:spacing w:after="0" w:line="240" w:lineRule="auto"/>
              <w:jc w:val="center"/>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Alternative Fuel Strategy</w:t>
            </w:r>
          </w:p>
        </w:tc>
      </w:tr>
      <w:tr w:rsidR="004E1D52" w:rsidRPr="00DE185C" w:rsidTr="004E1D52">
        <w:trPr>
          <w:trHeight w:val="288"/>
        </w:trPr>
        <w:tc>
          <w:tcPr>
            <w:tcW w:w="1879" w:type="dxa"/>
            <w:vMerge w:val="restart"/>
            <w:shd w:val="clear" w:color="auto" w:fill="DAEEF3" w:themeFill="accent5" w:themeFillTint="33"/>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Chula Vista</w:t>
            </w:r>
          </w:p>
        </w:tc>
        <w:tc>
          <w:tcPr>
            <w:tcW w:w="1300" w:type="dxa"/>
            <w:vMerge w:val="restart"/>
            <w:shd w:val="clear" w:color="auto" w:fill="DAEEF3" w:themeFill="accent5" w:themeFillTint="33"/>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2008</w:t>
            </w:r>
          </w:p>
        </w:tc>
        <w:tc>
          <w:tcPr>
            <w:tcW w:w="5911" w:type="dxa"/>
            <w:shd w:val="clear" w:color="auto" w:fill="DAEEF3" w:themeFill="accent5" w:themeFillTint="33"/>
            <w:vAlign w:val="bottom"/>
            <w:hideMark/>
          </w:tcPr>
          <w:p w:rsidR="004E1D52" w:rsidRPr="00DE185C" w:rsidRDefault="004E1D52" w:rsidP="00EE43B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100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clean vehicle replacement policy for city fleet. </w:t>
            </w:r>
            <w:r w:rsidR="00BC1E81" w:rsidRPr="00DE185C">
              <w:rPr>
                <w:rFonts w:ascii="Calibri" w:eastAsia="Times New Roman" w:hAnsi="Calibri" w:cs="Times New Roman"/>
                <w:color w:val="000000"/>
                <w:sz w:val="20"/>
                <w:szCs w:val="20"/>
              </w:rPr>
              <w:t>[CAP]</w:t>
            </w:r>
          </w:p>
        </w:tc>
      </w:tr>
      <w:tr w:rsidR="004E1D52" w:rsidRPr="00DE185C" w:rsidTr="004E1D52">
        <w:trPr>
          <w:trHeight w:val="288"/>
        </w:trPr>
        <w:tc>
          <w:tcPr>
            <w:tcW w:w="1879"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1300"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5911" w:type="dxa"/>
            <w:shd w:val="clear" w:color="auto" w:fill="DAEEF3" w:themeFill="accent5" w:themeFillTint="33"/>
            <w:vAlign w:val="bottom"/>
            <w:hideMark/>
          </w:tcPr>
          <w:p w:rsidR="004E1D52" w:rsidRPr="00DE185C" w:rsidRDefault="004E1D52" w:rsidP="00EE43B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100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clean vehicle replacement policy for city-contracted fleet services. </w:t>
            </w:r>
            <w:r w:rsidR="00BC1E81" w:rsidRPr="00DE185C">
              <w:rPr>
                <w:rFonts w:ascii="Calibri" w:eastAsia="Times New Roman" w:hAnsi="Calibri" w:cs="Times New Roman"/>
                <w:color w:val="000000"/>
                <w:sz w:val="20"/>
                <w:szCs w:val="20"/>
              </w:rPr>
              <w:t>[CAP]</w:t>
            </w:r>
          </w:p>
        </w:tc>
      </w:tr>
      <w:tr w:rsidR="004E1D52" w:rsidRPr="00DE185C" w:rsidTr="004E1D52">
        <w:trPr>
          <w:trHeight w:val="288"/>
        </w:trPr>
        <w:tc>
          <w:tcPr>
            <w:tcW w:w="1879" w:type="dxa"/>
            <w:shd w:val="clear" w:color="auto" w:fill="B6DDE8" w:themeFill="accent5" w:themeFillTint="66"/>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Encinitas</w:t>
            </w:r>
          </w:p>
        </w:tc>
        <w:tc>
          <w:tcPr>
            <w:tcW w:w="1300" w:type="dxa"/>
            <w:shd w:val="clear" w:color="auto" w:fill="B6DDE8" w:themeFill="accent5" w:themeFillTint="66"/>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2011</w:t>
            </w:r>
          </w:p>
        </w:tc>
        <w:tc>
          <w:tcPr>
            <w:tcW w:w="5911" w:type="dxa"/>
            <w:shd w:val="clear" w:color="auto" w:fill="B6DDE8" w:themeFill="accent5" w:themeFillTint="66"/>
            <w:vAlign w:val="bottom"/>
            <w:hideMark/>
          </w:tcPr>
          <w:p w:rsidR="004E1D52" w:rsidRPr="00DE185C" w:rsidRDefault="004E1D52"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Obtain alternative fuel vehicles and more fuel efficient fleet vehicles for the city. </w:t>
            </w:r>
            <w:r w:rsidR="00BC1E81" w:rsidRPr="00DE185C">
              <w:rPr>
                <w:rFonts w:ascii="Calibri" w:eastAsia="Times New Roman" w:hAnsi="Calibri" w:cs="Times New Roman"/>
                <w:color w:val="000000"/>
                <w:sz w:val="20"/>
                <w:szCs w:val="20"/>
              </w:rPr>
              <w:t>[CAP]</w:t>
            </w:r>
          </w:p>
        </w:tc>
      </w:tr>
      <w:tr w:rsidR="004E1D52" w:rsidRPr="00DE185C" w:rsidTr="004E1D52">
        <w:trPr>
          <w:trHeight w:val="288"/>
        </w:trPr>
        <w:tc>
          <w:tcPr>
            <w:tcW w:w="1879" w:type="dxa"/>
            <w:vMerge w:val="restart"/>
            <w:shd w:val="clear" w:color="auto" w:fill="DAEEF3" w:themeFill="accent5" w:themeFillTint="33"/>
            <w:noWrap/>
            <w:vAlign w:val="center"/>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Escondido</w:t>
            </w:r>
          </w:p>
        </w:tc>
        <w:tc>
          <w:tcPr>
            <w:tcW w:w="1300" w:type="dxa"/>
            <w:vMerge w:val="restart"/>
            <w:shd w:val="clear" w:color="auto" w:fill="DAEEF3" w:themeFill="accent5" w:themeFillTint="33"/>
            <w:noWrap/>
            <w:vAlign w:val="center"/>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2013</w:t>
            </w:r>
          </w:p>
        </w:tc>
        <w:tc>
          <w:tcPr>
            <w:tcW w:w="5911" w:type="dxa"/>
            <w:shd w:val="clear" w:color="auto" w:fill="DAEEF3" w:themeFill="accent5" w:themeFillTint="33"/>
            <w:vAlign w:val="bottom"/>
          </w:tcPr>
          <w:p w:rsidR="004E1D52" w:rsidRPr="00DE185C" w:rsidRDefault="004E1D52"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Substitute electric landscaping equipment for traditional gas-powered equipment.</w:t>
            </w:r>
            <w:r w:rsidR="00BC1E81" w:rsidRPr="00DE185C">
              <w:rPr>
                <w:rFonts w:ascii="Calibri" w:eastAsia="Times New Roman" w:hAnsi="Calibri" w:cs="Times New Roman"/>
                <w:color w:val="000000"/>
                <w:sz w:val="20"/>
                <w:szCs w:val="20"/>
              </w:rPr>
              <w:t xml:space="preserve"> [CAP]</w:t>
            </w:r>
          </w:p>
        </w:tc>
      </w:tr>
      <w:tr w:rsidR="004E1D52" w:rsidRPr="00DE185C" w:rsidTr="004E1D52">
        <w:trPr>
          <w:trHeight w:val="288"/>
        </w:trPr>
        <w:tc>
          <w:tcPr>
            <w:tcW w:w="1879" w:type="dxa"/>
            <w:vMerge/>
            <w:shd w:val="clear" w:color="auto" w:fill="DAEEF3" w:themeFill="accent5" w:themeFillTint="33"/>
            <w:noWrap/>
            <w:vAlign w:val="center"/>
          </w:tcPr>
          <w:p w:rsidR="004E1D52" w:rsidRPr="00DE185C" w:rsidRDefault="004E1D52" w:rsidP="002E1FA2">
            <w:pPr>
              <w:spacing w:after="0" w:line="240" w:lineRule="auto"/>
              <w:jc w:val="center"/>
              <w:rPr>
                <w:rFonts w:ascii="Calibri" w:eastAsia="Times New Roman" w:hAnsi="Calibri" w:cs="Times New Roman"/>
                <w:color w:val="000000"/>
                <w:sz w:val="20"/>
                <w:szCs w:val="20"/>
              </w:rPr>
            </w:pPr>
          </w:p>
        </w:tc>
        <w:tc>
          <w:tcPr>
            <w:tcW w:w="1300" w:type="dxa"/>
            <w:vMerge/>
            <w:shd w:val="clear" w:color="auto" w:fill="DAEEF3" w:themeFill="accent5" w:themeFillTint="33"/>
            <w:noWrap/>
            <w:vAlign w:val="center"/>
          </w:tcPr>
          <w:p w:rsidR="004E1D52" w:rsidRPr="00DE185C" w:rsidRDefault="004E1D52" w:rsidP="002E1FA2">
            <w:pPr>
              <w:spacing w:after="0" w:line="240" w:lineRule="auto"/>
              <w:jc w:val="center"/>
              <w:rPr>
                <w:rFonts w:ascii="Calibri" w:eastAsia="Times New Roman" w:hAnsi="Calibri" w:cs="Times New Roman"/>
                <w:color w:val="000000"/>
                <w:sz w:val="20"/>
                <w:szCs w:val="20"/>
              </w:rPr>
            </w:pPr>
          </w:p>
        </w:tc>
        <w:tc>
          <w:tcPr>
            <w:tcW w:w="5911" w:type="dxa"/>
            <w:shd w:val="clear" w:color="auto" w:fill="DAEEF3" w:themeFill="accent5" w:themeFillTint="33"/>
            <w:vAlign w:val="bottom"/>
          </w:tcPr>
          <w:p w:rsidR="004E1D52" w:rsidRPr="00DE185C" w:rsidRDefault="004E1D52"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Use electric or natural gas-powered construction equipment in lieu of gasoline or diesel-powered engines, when feasible.</w:t>
            </w:r>
            <w:r w:rsidR="00BC1E81" w:rsidRPr="00DE185C">
              <w:rPr>
                <w:rFonts w:ascii="Calibri" w:eastAsia="Times New Roman" w:hAnsi="Calibri" w:cs="Times New Roman"/>
                <w:color w:val="000000"/>
                <w:sz w:val="20"/>
                <w:szCs w:val="20"/>
              </w:rPr>
              <w:t xml:space="preserve"> [CAP]</w:t>
            </w:r>
          </w:p>
        </w:tc>
      </w:tr>
      <w:tr w:rsidR="00EC2AC9" w:rsidRPr="00DE185C" w:rsidTr="00D35E15">
        <w:trPr>
          <w:trHeight w:val="288"/>
        </w:trPr>
        <w:tc>
          <w:tcPr>
            <w:tcW w:w="1879" w:type="dxa"/>
            <w:shd w:val="clear" w:color="auto" w:fill="B6DDE8" w:themeFill="accent5" w:themeFillTint="66"/>
            <w:noWrap/>
            <w:vAlign w:val="center"/>
          </w:tcPr>
          <w:p w:rsidR="00EC2AC9" w:rsidRPr="00DE185C" w:rsidRDefault="00EC2AC9" w:rsidP="00D35E15">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La Mesa</w:t>
            </w:r>
          </w:p>
        </w:tc>
        <w:tc>
          <w:tcPr>
            <w:tcW w:w="1300" w:type="dxa"/>
            <w:shd w:val="clear" w:color="auto" w:fill="B6DDE8" w:themeFill="accent5" w:themeFillTint="66"/>
            <w:noWrap/>
            <w:vAlign w:val="center"/>
          </w:tcPr>
          <w:p w:rsidR="00EC2AC9" w:rsidRPr="00DE185C" w:rsidRDefault="00EC2AC9" w:rsidP="00D35E15">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2012</w:t>
            </w:r>
          </w:p>
        </w:tc>
        <w:tc>
          <w:tcPr>
            <w:tcW w:w="5911" w:type="dxa"/>
            <w:shd w:val="clear" w:color="auto" w:fill="B6DDE8" w:themeFill="accent5" w:themeFillTint="66"/>
            <w:vAlign w:val="bottom"/>
          </w:tcPr>
          <w:p w:rsidR="00EC2AC9" w:rsidRPr="00DE185C" w:rsidRDefault="00EC2AC9" w:rsidP="00D35E15">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Encourage infrastructure, such as fueling stations, for alternative fuel vehicles. [General Plan] </w:t>
            </w:r>
          </w:p>
        </w:tc>
      </w:tr>
      <w:tr w:rsidR="004E1D52" w:rsidRPr="00DE185C" w:rsidTr="00EC2AC9">
        <w:trPr>
          <w:trHeight w:val="505"/>
        </w:trPr>
        <w:tc>
          <w:tcPr>
            <w:tcW w:w="1879" w:type="dxa"/>
            <w:vMerge w:val="restart"/>
            <w:shd w:val="clear" w:color="auto" w:fill="DAEEF3" w:themeFill="accent5" w:themeFillTint="33"/>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National City</w:t>
            </w:r>
          </w:p>
        </w:tc>
        <w:tc>
          <w:tcPr>
            <w:tcW w:w="1300" w:type="dxa"/>
            <w:vMerge w:val="restart"/>
            <w:shd w:val="clear" w:color="auto" w:fill="DAEEF3" w:themeFill="accent5" w:themeFillTint="33"/>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2011</w:t>
            </w:r>
          </w:p>
        </w:tc>
        <w:tc>
          <w:tcPr>
            <w:tcW w:w="5911" w:type="dxa"/>
            <w:shd w:val="clear" w:color="auto" w:fill="DAEEF3" w:themeFill="accent5" w:themeFillTint="33"/>
            <w:vAlign w:val="bottom"/>
            <w:hideMark/>
          </w:tcPr>
          <w:p w:rsidR="004E1D52" w:rsidRPr="00DE185C" w:rsidRDefault="004E1D52" w:rsidP="003D261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Develop streamlined permitting requirements, standardized design guidelines and siting criteria for all types of EV charging stations.</w:t>
            </w:r>
            <w:r w:rsidR="00BC1E81" w:rsidRPr="00DE185C">
              <w:rPr>
                <w:rFonts w:ascii="Calibri" w:eastAsia="Times New Roman" w:hAnsi="Calibri" w:cs="Times New Roman"/>
                <w:color w:val="000000"/>
                <w:sz w:val="20"/>
                <w:szCs w:val="20"/>
              </w:rPr>
              <w:t xml:space="preserve"> [CAP]</w:t>
            </w:r>
          </w:p>
        </w:tc>
      </w:tr>
      <w:tr w:rsidR="004E1D52" w:rsidRPr="00DE185C" w:rsidTr="00EC2AC9">
        <w:trPr>
          <w:trHeight w:val="505"/>
        </w:trPr>
        <w:tc>
          <w:tcPr>
            <w:tcW w:w="1879"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1300"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5911" w:type="dxa"/>
            <w:shd w:val="clear" w:color="auto" w:fill="DAEEF3" w:themeFill="accent5" w:themeFillTint="33"/>
            <w:vAlign w:val="bottom"/>
            <w:hideMark/>
          </w:tcPr>
          <w:p w:rsidR="004E1D52" w:rsidRPr="00DE185C" w:rsidRDefault="004E1D52"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Continue to integrate alternative transportation fuels and vehicles into the government fleet and the fleets of contractors.</w:t>
            </w:r>
            <w:r w:rsidR="00BC1E81" w:rsidRPr="00DE185C">
              <w:rPr>
                <w:rFonts w:ascii="Calibri" w:eastAsia="Times New Roman" w:hAnsi="Calibri" w:cs="Times New Roman"/>
                <w:color w:val="000000"/>
                <w:sz w:val="20"/>
                <w:szCs w:val="20"/>
              </w:rPr>
              <w:t xml:space="preserve"> [CAP] </w:t>
            </w:r>
          </w:p>
        </w:tc>
      </w:tr>
      <w:tr w:rsidR="004E1D52" w:rsidRPr="00DE185C" w:rsidTr="00EC2AC9">
        <w:trPr>
          <w:trHeight w:val="750"/>
        </w:trPr>
        <w:tc>
          <w:tcPr>
            <w:tcW w:w="1879" w:type="dxa"/>
            <w:shd w:val="clear" w:color="auto" w:fill="B6DDE8" w:themeFill="accent5" w:themeFillTint="66"/>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Port of San Diego</w:t>
            </w:r>
          </w:p>
        </w:tc>
        <w:tc>
          <w:tcPr>
            <w:tcW w:w="1300" w:type="dxa"/>
            <w:shd w:val="clear" w:color="auto" w:fill="B6DDE8" w:themeFill="accent5" w:themeFillTint="66"/>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2013</w:t>
            </w:r>
          </w:p>
        </w:tc>
        <w:tc>
          <w:tcPr>
            <w:tcW w:w="5911" w:type="dxa"/>
            <w:shd w:val="clear" w:color="auto" w:fill="B6DDE8" w:themeFill="accent5" w:themeFillTint="66"/>
            <w:vAlign w:val="bottom"/>
            <w:hideMark/>
          </w:tcPr>
          <w:p w:rsidR="004E1D52" w:rsidRPr="00DE185C" w:rsidRDefault="004E1D52"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Support and promote the use of alternative fueled, electric, or hybrid Port owner vehicles and vessels (also includes cargo handling equipment, terminal and stationary equipment). </w:t>
            </w:r>
            <w:r w:rsidR="00A4221B" w:rsidRPr="00DE185C">
              <w:rPr>
                <w:rFonts w:ascii="Calibri" w:eastAsia="Times New Roman" w:hAnsi="Calibri" w:cs="Times New Roman"/>
                <w:color w:val="000000"/>
                <w:sz w:val="20"/>
                <w:szCs w:val="20"/>
              </w:rPr>
              <w:t xml:space="preserve">[CAP] </w:t>
            </w:r>
          </w:p>
        </w:tc>
      </w:tr>
      <w:tr w:rsidR="00EC2AC9" w:rsidRPr="00DE185C" w:rsidTr="00EC2AC9">
        <w:trPr>
          <w:trHeight w:val="288"/>
        </w:trPr>
        <w:tc>
          <w:tcPr>
            <w:tcW w:w="1879" w:type="dxa"/>
            <w:tcBorders>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noWrap/>
            <w:vAlign w:val="center"/>
          </w:tcPr>
          <w:p w:rsidR="00EC2AC9" w:rsidRPr="00DE185C" w:rsidRDefault="00EC2AC9" w:rsidP="00D35E15">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City of San Diego</w:t>
            </w:r>
          </w:p>
        </w:tc>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tcPr>
          <w:p w:rsidR="00EC2AC9" w:rsidRPr="00DE185C" w:rsidRDefault="00EC2AC9" w:rsidP="00EC2AC9">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2011</w:t>
            </w:r>
          </w:p>
        </w:tc>
        <w:tc>
          <w:tcPr>
            <w:tcW w:w="5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bottom"/>
          </w:tcPr>
          <w:p w:rsidR="00EC2AC9" w:rsidRPr="00DE185C" w:rsidRDefault="00EC2AC9" w:rsidP="00D35E15">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The City will commit to investigate the benefit, availability and use of lower carbon fuels, low emission &amp; zero emission vehicles, including but not limited to Super Ultra Low Emission Vehicles (SULEV), Partial Zero Emission Vehicles (PZEV) and Zero Emission Vehicles (ZEV) such as electric vehicles. [Fuel Reduction and Transportation Efficiency Policy 90.73]</w:t>
            </w:r>
          </w:p>
        </w:tc>
      </w:tr>
      <w:tr w:rsidR="00EC2AC9" w:rsidRPr="00DE185C" w:rsidTr="00D35E15">
        <w:trPr>
          <w:trHeight w:val="288"/>
        </w:trPr>
        <w:tc>
          <w:tcPr>
            <w:tcW w:w="1879" w:type="dxa"/>
            <w:shd w:val="clear" w:color="auto" w:fill="B6DDE8" w:themeFill="accent5" w:themeFillTint="66"/>
            <w:noWrap/>
            <w:vAlign w:val="center"/>
          </w:tcPr>
          <w:p w:rsidR="00EC2AC9" w:rsidRPr="00DE185C" w:rsidRDefault="00EC2AC9" w:rsidP="00D35E15">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County of San Diego</w:t>
            </w:r>
          </w:p>
        </w:tc>
        <w:tc>
          <w:tcPr>
            <w:tcW w:w="1300" w:type="dxa"/>
            <w:shd w:val="clear" w:color="auto" w:fill="B6DDE8" w:themeFill="accent5" w:themeFillTint="66"/>
            <w:noWrap/>
            <w:vAlign w:val="center"/>
          </w:tcPr>
          <w:p w:rsidR="00EC2AC9" w:rsidRPr="00DE185C" w:rsidRDefault="00EC2AC9" w:rsidP="00D35E15">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2011</w:t>
            </w:r>
          </w:p>
        </w:tc>
        <w:tc>
          <w:tcPr>
            <w:tcW w:w="5911" w:type="dxa"/>
            <w:shd w:val="clear" w:color="auto" w:fill="B6DDE8" w:themeFill="accent5" w:themeFillTint="66"/>
            <w:vAlign w:val="bottom"/>
          </w:tcPr>
          <w:p w:rsidR="00EC2AC9" w:rsidRPr="00DE185C" w:rsidRDefault="00EC2AC9" w:rsidP="00D35E15">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All vehicles purchased for the County of San Diego’s fleet will be the most fuel-efficient and lowest emissions within the vehicle class/type. [Policy H-2] </w:t>
            </w:r>
          </w:p>
        </w:tc>
      </w:tr>
      <w:tr w:rsidR="004E1D52" w:rsidRPr="00DE185C" w:rsidTr="00EC2AC9">
        <w:trPr>
          <w:trHeight w:val="750"/>
        </w:trPr>
        <w:tc>
          <w:tcPr>
            <w:tcW w:w="1879" w:type="dxa"/>
            <w:vMerge w:val="restart"/>
            <w:shd w:val="clear" w:color="auto" w:fill="DAEEF3" w:themeFill="accent5" w:themeFillTint="33"/>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San Marcos</w:t>
            </w:r>
          </w:p>
        </w:tc>
        <w:tc>
          <w:tcPr>
            <w:tcW w:w="1300" w:type="dxa"/>
            <w:vMerge w:val="restart"/>
            <w:shd w:val="clear" w:color="auto" w:fill="DAEEF3" w:themeFill="accent5" w:themeFillTint="33"/>
            <w:noWrap/>
            <w:vAlign w:val="center"/>
            <w:hideMark/>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2013</w:t>
            </w:r>
          </w:p>
        </w:tc>
        <w:tc>
          <w:tcPr>
            <w:tcW w:w="5911" w:type="dxa"/>
            <w:shd w:val="clear" w:color="auto" w:fill="DAEEF3" w:themeFill="accent5" w:themeFillTint="33"/>
            <w:vAlign w:val="bottom"/>
            <w:hideMark/>
          </w:tcPr>
          <w:p w:rsidR="004E1D52" w:rsidRPr="00DE185C" w:rsidRDefault="004E1D52" w:rsidP="003D261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Reduce GHG emissions associated with the City's vehicle and equipment fleet by 15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below 2005 levels by 2020 and 21</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below 2005 levels by 2030. Have a total of 12 vehicles replaced by 2030. </w:t>
            </w:r>
            <w:r w:rsidR="00A4221B" w:rsidRPr="00DE185C">
              <w:rPr>
                <w:rFonts w:ascii="Calibri" w:eastAsia="Times New Roman" w:hAnsi="Calibri" w:cs="Times New Roman"/>
                <w:color w:val="000000"/>
                <w:sz w:val="20"/>
                <w:szCs w:val="20"/>
              </w:rPr>
              <w:t>[CAP]</w:t>
            </w:r>
          </w:p>
        </w:tc>
      </w:tr>
      <w:tr w:rsidR="004E1D52" w:rsidRPr="00DE185C" w:rsidTr="00EC2AC9">
        <w:trPr>
          <w:trHeight w:val="750"/>
        </w:trPr>
        <w:tc>
          <w:tcPr>
            <w:tcW w:w="1879"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1300"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5911" w:type="dxa"/>
            <w:shd w:val="clear" w:color="auto" w:fill="DAEEF3" w:themeFill="accent5" w:themeFillTint="33"/>
            <w:vAlign w:val="bottom"/>
            <w:hideMark/>
          </w:tcPr>
          <w:p w:rsidR="004E1D52" w:rsidRPr="00DE185C" w:rsidRDefault="004E1D52" w:rsidP="003D261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Achieve a 2</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reduction in light-duty vehicle emissions above Advanced Clean Car Standards in 2020 and a 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reduction in 2030. Achieve a switch of 10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of heavy-duty vehicles to use alternative fuels by 2020 and 20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switch to alternative fuels by 2030.</w:t>
            </w:r>
            <w:r w:rsidR="00A4221B" w:rsidRPr="00DE185C">
              <w:rPr>
                <w:rFonts w:ascii="Calibri" w:eastAsia="Times New Roman" w:hAnsi="Calibri" w:cs="Times New Roman"/>
                <w:color w:val="000000"/>
                <w:sz w:val="20"/>
                <w:szCs w:val="20"/>
              </w:rPr>
              <w:t xml:space="preserve"> [CAP]</w:t>
            </w:r>
          </w:p>
        </w:tc>
      </w:tr>
      <w:tr w:rsidR="004E1D52" w:rsidRPr="00DE185C" w:rsidTr="00EC2AC9">
        <w:trPr>
          <w:trHeight w:val="505"/>
        </w:trPr>
        <w:tc>
          <w:tcPr>
            <w:tcW w:w="1879"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1300" w:type="dxa"/>
            <w:vMerge/>
            <w:shd w:val="clear" w:color="auto" w:fill="DAEEF3" w:themeFill="accent5" w:themeFillTint="33"/>
            <w:vAlign w:val="center"/>
            <w:hideMark/>
          </w:tcPr>
          <w:p w:rsidR="004E1D52" w:rsidRPr="00DE185C" w:rsidRDefault="004E1D52" w:rsidP="002E1FA2">
            <w:pPr>
              <w:spacing w:after="0" w:line="240" w:lineRule="auto"/>
              <w:rPr>
                <w:rFonts w:ascii="Calibri" w:eastAsia="Times New Roman" w:hAnsi="Calibri" w:cs="Times New Roman"/>
                <w:color w:val="000000"/>
                <w:sz w:val="20"/>
                <w:szCs w:val="20"/>
              </w:rPr>
            </w:pPr>
          </w:p>
        </w:tc>
        <w:tc>
          <w:tcPr>
            <w:tcW w:w="5911" w:type="dxa"/>
            <w:shd w:val="clear" w:color="auto" w:fill="DAEEF3" w:themeFill="accent5" w:themeFillTint="33"/>
            <w:vAlign w:val="bottom"/>
            <w:hideMark/>
          </w:tcPr>
          <w:p w:rsidR="004E1D52" w:rsidRPr="00DE185C" w:rsidRDefault="004E1D52"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of construction vehicles and equipment should utilize new technologies, CARB-approved low carbon fuel, or be electrically-powered by 2020 and 15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2030. </w:t>
            </w:r>
            <w:r w:rsidR="00A4221B" w:rsidRPr="00DE185C">
              <w:rPr>
                <w:rFonts w:ascii="Calibri" w:eastAsia="Times New Roman" w:hAnsi="Calibri" w:cs="Times New Roman"/>
                <w:color w:val="000000"/>
                <w:sz w:val="20"/>
                <w:szCs w:val="20"/>
              </w:rPr>
              <w:t xml:space="preserve">[CAP] </w:t>
            </w:r>
          </w:p>
        </w:tc>
      </w:tr>
      <w:tr w:rsidR="00EC2AC9" w:rsidRPr="00DE185C" w:rsidTr="00EC2AC9">
        <w:trPr>
          <w:trHeight w:val="288"/>
        </w:trPr>
        <w:tc>
          <w:tcPr>
            <w:tcW w:w="1879" w:type="dxa"/>
            <w:vMerge w:val="restart"/>
            <w:shd w:val="clear" w:color="auto" w:fill="B6DDE8" w:themeFill="accent5" w:themeFillTint="66"/>
            <w:noWrap/>
            <w:vAlign w:val="center"/>
            <w:hideMark/>
          </w:tcPr>
          <w:p w:rsidR="00EC2AC9" w:rsidRPr="00DE185C" w:rsidRDefault="00EC2AC9"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UC San Diego</w:t>
            </w:r>
          </w:p>
        </w:tc>
        <w:tc>
          <w:tcPr>
            <w:tcW w:w="1300" w:type="dxa"/>
            <w:shd w:val="clear" w:color="auto" w:fill="B6DDE8" w:themeFill="accent5" w:themeFillTint="66"/>
            <w:noWrap/>
            <w:vAlign w:val="center"/>
            <w:hideMark/>
          </w:tcPr>
          <w:p w:rsidR="00EC2AC9" w:rsidRPr="00DE185C" w:rsidRDefault="00EC2AC9"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2008</w:t>
            </w:r>
          </w:p>
        </w:tc>
        <w:tc>
          <w:tcPr>
            <w:tcW w:w="5911" w:type="dxa"/>
            <w:shd w:val="clear" w:color="auto" w:fill="B6DDE8" w:themeFill="accent5" w:themeFillTint="66"/>
            <w:vAlign w:val="bottom"/>
            <w:hideMark/>
          </w:tcPr>
          <w:p w:rsidR="00EC2AC9" w:rsidRPr="00DE185C" w:rsidRDefault="00EC2AC9"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Replace gasoline-powered vehicles with alternatively-fueled vehicles.[CAP] </w:t>
            </w:r>
          </w:p>
        </w:tc>
      </w:tr>
      <w:tr w:rsidR="00EC2AC9" w:rsidRPr="00DE185C" w:rsidTr="00EC2AC9">
        <w:trPr>
          <w:trHeight w:val="288"/>
        </w:trPr>
        <w:tc>
          <w:tcPr>
            <w:tcW w:w="1879" w:type="dxa"/>
            <w:vMerge/>
            <w:shd w:val="clear" w:color="auto" w:fill="B6DDE8" w:themeFill="accent5" w:themeFillTint="66"/>
            <w:noWrap/>
            <w:vAlign w:val="center"/>
          </w:tcPr>
          <w:p w:rsidR="00EC2AC9" w:rsidRPr="00DE185C" w:rsidRDefault="00EC2AC9" w:rsidP="002E1FA2">
            <w:pPr>
              <w:spacing w:after="0" w:line="240" w:lineRule="auto"/>
              <w:jc w:val="center"/>
              <w:rPr>
                <w:rFonts w:ascii="Calibri" w:eastAsia="Times New Roman" w:hAnsi="Calibri" w:cs="Times New Roman"/>
                <w:color w:val="000000"/>
                <w:sz w:val="20"/>
                <w:szCs w:val="20"/>
              </w:rPr>
            </w:pPr>
          </w:p>
        </w:tc>
        <w:tc>
          <w:tcPr>
            <w:tcW w:w="1300" w:type="dxa"/>
            <w:shd w:val="clear" w:color="auto" w:fill="B6DDE8" w:themeFill="accent5" w:themeFillTint="66"/>
            <w:noWrap/>
            <w:vAlign w:val="center"/>
          </w:tcPr>
          <w:p w:rsidR="00EC2AC9" w:rsidRPr="00DE185C" w:rsidRDefault="00EC2AC9"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2010</w:t>
            </w:r>
          </w:p>
        </w:tc>
        <w:tc>
          <w:tcPr>
            <w:tcW w:w="5911" w:type="dxa"/>
            <w:shd w:val="clear" w:color="auto" w:fill="B6DDE8" w:themeFill="accent5" w:themeFillTint="66"/>
            <w:vAlign w:val="bottom"/>
          </w:tcPr>
          <w:p w:rsidR="00EC2AC9" w:rsidRPr="00DE185C" w:rsidRDefault="00EC2AC9"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An objective of the University is to reduce the number of internal combustion engines (ICEs) on campus by converting to neighborhood electric vehicles or other electric vehicles that are certified and licensed for on-road operation. [Policy and Procedure Manual 551-2]</w:t>
            </w:r>
          </w:p>
        </w:tc>
      </w:tr>
      <w:tr w:rsidR="004E1D52" w:rsidRPr="00DE185C" w:rsidTr="00EC2AC9">
        <w:trPr>
          <w:trHeight w:val="288"/>
        </w:trPr>
        <w:tc>
          <w:tcPr>
            <w:tcW w:w="1879" w:type="dxa"/>
            <w:shd w:val="clear" w:color="auto" w:fill="DAEEF3" w:themeFill="accent5" w:themeFillTint="33"/>
            <w:noWrap/>
            <w:vAlign w:val="center"/>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Vista</w:t>
            </w:r>
          </w:p>
        </w:tc>
        <w:tc>
          <w:tcPr>
            <w:tcW w:w="1300" w:type="dxa"/>
            <w:shd w:val="clear" w:color="auto" w:fill="DAEEF3" w:themeFill="accent5" w:themeFillTint="33"/>
            <w:noWrap/>
            <w:vAlign w:val="center"/>
          </w:tcPr>
          <w:p w:rsidR="004E1D52" w:rsidRPr="00DE185C" w:rsidRDefault="004E1D52" w:rsidP="002E1FA2">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2012</w:t>
            </w:r>
          </w:p>
        </w:tc>
        <w:tc>
          <w:tcPr>
            <w:tcW w:w="5911" w:type="dxa"/>
            <w:shd w:val="clear" w:color="auto" w:fill="DAEEF3" w:themeFill="accent5" w:themeFillTint="33"/>
            <w:vAlign w:val="bottom"/>
          </w:tcPr>
          <w:p w:rsidR="004E1D52" w:rsidRPr="00DE185C" w:rsidRDefault="004E1D52"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Continue to convert city fleet to more fuel-efficient and alternative fuel vehicles on a replacement basis. </w:t>
            </w:r>
            <w:r w:rsidR="00D22CE9" w:rsidRPr="00DE185C">
              <w:rPr>
                <w:rFonts w:ascii="Calibri" w:eastAsia="Times New Roman" w:hAnsi="Calibri" w:cs="Times New Roman"/>
                <w:color w:val="000000"/>
                <w:sz w:val="20"/>
                <w:szCs w:val="20"/>
              </w:rPr>
              <w:t>[CAP]</w:t>
            </w:r>
          </w:p>
        </w:tc>
      </w:tr>
      <w:tr w:rsidR="005C5C28" w:rsidRPr="00DE185C" w:rsidTr="00EC2AC9">
        <w:trPr>
          <w:trHeight w:val="288"/>
        </w:trPr>
        <w:tc>
          <w:tcPr>
            <w:tcW w:w="1879" w:type="dxa"/>
            <w:vMerge w:val="restart"/>
            <w:shd w:val="clear" w:color="auto" w:fill="B6DDE8" w:themeFill="accent5" w:themeFillTint="66"/>
            <w:noWrap/>
            <w:vAlign w:val="center"/>
          </w:tcPr>
          <w:p w:rsidR="005C5C28" w:rsidRPr="00DE185C" w:rsidRDefault="005C5C28" w:rsidP="00F02EFB">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Carlsbad</w:t>
            </w:r>
          </w:p>
        </w:tc>
        <w:tc>
          <w:tcPr>
            <w:tcW w:w="1300" w:type="dxa"/>
            <w:shd w:val="clear" w:color="auto" w:fill="B6DDE8" w:themeFill="accent5" w:themeFillTint="66"/>
            <w:vAlign w:val="center"/>
          </w:tcPr>
          <w:p w:rsidR="005C5C28" w:rsidRPr="00DE185C" w:rsidRDefault="00AF52E1" w:rsidP="00EC2AC9">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 Progress</w:t>
            </w:r>
          </w:p>
        </w:tc>
        <w:tc>
          <w:tcPr>
            <w:tcW w:w="5911" w:type="dxa"/>
            <w:shd w:val="clear" w:color="auto" w:fill="B6DDE8" w:themeFill="accent5" w:themeFillTint="66"/>
            <w:vAlign w:val="bottom"/>
          </w:tcPr>
          <w:p w:rsidR="005C5C28" w:rsidRPr="00DE185C" w:rsidRDefault="005C5C28" w:rsidP="00EE43B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Promote an increase in the amount of ZEV miles traveled from a projected 15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to 25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of total vehicle miles traveled by 2035.</w:t>
            </w:r>
            <w:r w:rsidR="00473DF3" w:rsidRPr="00DE185C">
              <w:rPr>
                <w:rFonts w:ascii="Calibri" w:eastAsia="Times New Roman" w:hAnsi="Calibri" w:cs="Times New Roman"/>
                <w:color w:val="000000"/>
                <w:sz w:val="20"/>
                <w:szCs w:val="20"/>
              </w:rPr>
              <w:t>[CAP]</w:t>
            </w:r>
          </w:p>
        </w:tc>
      </w:tr>
      <w:tr w:rsidR="00AF52E1" w:rsidRPr="00DE185C" w:rsidTr="00EC2AC9">
        <w:trPr>
          <w:trHeight w:val="288"/>
        </w:trPr>
        <w:tc>
          <w:tcPr>
            <w:tcW w:w="1879" w:type="dxa"/>
            <w:vMerge/>
            <w:shd w:val="clear" w:color="auto" w:fill="B6DDE8" w:themeFill="accent5" w:themeFillTint="66"/>
            <w:noWrap/>
            <w:vAlign w:val="center"/>
          </w:tcPr>
          <w:p w:rsidR="00AF52E1" w:rsidRPr="00DE185C" w:rsidRDefault="00AF52E1" w:rsidP="00F02EFB">
            <w:pPr>
              <w:spacing w:after="0" w:line="240" w:lineRule="auto"/>
              <w:jc w:val="center"/>
              <w:rPr>
                <w:rFonts w:ascii="Calibri" w:eastAsia="Times New Roman" w:hAnsi="Calibri" w:cs="Times New Roman"/>
                <w:color w:val="000000"/>
                <w:sz w:val="20"/>
                <w:szCs w:val="20"/>
              </w:rPr>
            </w:pPr>
          </w:p>
        </w:tc>
        <w:tc>
          <w:tcPr>
            <w:tcW w:w="1300" w:type="dxa"/>
            <w:shd w:val="clear" w:color="auto" w:fill="B6DDE8" w:themeFill="accent5" w:themeFillTint="66"/>
            <w:vAlign w:val="center"/>
          </w:tcPr>
          <w:p w:rsidR="00AF52E1" w:rsidRPr="00DE185C" w:rsidRDefault="00AF52E1" w:rsidP="00E6142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 Progress</w:t>
            </w:r>
          </w:p>
        </w:tc>
        <w:tc>
          <w:tcPr>
            <w:tcW w:w="5911" w:type="dxa"/>
            <w:shd w:val="clear" w:color="auto" w:fill="B6DDE8" w:themeFill="accent5" w:themeFillTint="66"/>
            <w:vAlign w:val="bottom"/>
          </w:tcPr>
          <w:p w:rsidR="00AF52E1" w:rsidRPr="00DE185C" w:rsidRDefault="00AF52E1" w:rsidP="00EE43B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Increase the proportion of fleet low and zero-emissions vehicle miles traveled to 25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of all city-related VMT by 2035. [CAP]</w:t>
            </w:r>
          </w:p>
        </w:tc>
      </w:tr>
      <w:tr w:rsidR="00AF52E1" w:rsidRPr="00DE185C" w:rsidTr="00EC2AC9">
        <w:trPr>
          <w:trHeight w:val="288"/>
        </w:trPr>
        <w:tc>
          <w:tcPr>
            <w:tcW w:w="187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AEEF3" w:themeFill="accent5" w:themeFillTint="33"/>
            <w:noWrap/>
            <w:vAlign w:val="center"/>
          </w:tcPr>
          <w:p w:rsidR="00AF52E1" w:rsidRPr="00DE185C" w:rsidRDefault="00AF52E1" w:rsidP="00F02EFB">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City of San Diego</w:t>
            </w:r>
          </w:p>
        </w:tc>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tcPr>
          <w:p w:rsidR="00AF52E1" w:rsidRPr="00DE185C" w:rsidRDefault="00AF52E1" w:rsidP="00E6142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 Progress</w:t>
            </w:r>
          </w:p>
        </w:tc>
        <w:tc>
          <w:tcPr>
            <w:tcW w:w="5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bottom"/>
          </w:tcPr>
          <w:p w:rsidR="00AF52E1" w:rsidRPr="00DE185C" w:rsidRDefault="00AF52E1" w:rsidP="00F02EF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Increase the number of zero-emission vehicles in the municipal fleet to 50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2020 and 90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2035. [CAP] </w:t>
            </w:r>
          </w:p>
        </w:tc>
      </w:tr>
      <w:tr w:rsidR="00AF52E1" w:rsidRPr="00DE185C" w:rsidTr="00EC2AC9">
        <w:trPr>
          <w:trHeight w:val="288"/>
        </w:trPr>
        <w:tc>
          <w:tcPr>
            <w:tcW w:w="1879" w:type="dxa"/>
            <w:vMerge/>
            <w:tcBorders>
              <w:left w:val="single" w:sz="4" w:space="0" w:color="FFFFFF" w:themeColor="background1"/>
              <w:right w:val="single" w:sz="4" w:space="0" w:color="FFFFFF" w:themeColor="background1"/>
            </w:tcBorders>
            <w:shd w:val="clear" w:color="auto" w:fill="DAEEF3" w:themeFill="accent5" w:themeFillTint="33"/>
            <w:noWrap/>
            <w:vAlign w:val="center"/>
          </w:tcPr>
          <w:p w:rsidR="00AF52E1" w:rsidRPr="00DE185C" w:rsidRDefault="00AF52E1" w:rsidP="003425A8">
            <w:pPr>
              <w:spacing w:after="0" w:line="240" w:lineRule="auto"/>
              <w:jc w:val="center"/>
              <w:rPr>
                <w:rFonts w:ascii="Calibri" w:eastAsia="Times New Roman" w:hAnsi="Calibri" w:cs="Times New Roman"/>
                <w:color w:val="000000"/>
                <w:sz w:val="20"/>
                <w:szCs w:val="20"/>
              </w:rPr>
            </w:pPr>
          </w:p>
        </w:tc>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tcPr>
          <w:p w:rsidR="00AF52E1" w:rsidRPr="00DE185C" w:rsidRDefault="00AF52E1" w:rsidP="00E6142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 Progress</w:t>
            </w:r>
          </w:p>
        </w:tc>
        <w:tc>
          <w:tcPr>
            <w:tcW w:w="5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bottom"/>
          </w:tcPr>
          <w:p w:rsidR="00AF52E1" w:rsidRPr="00DE185C" w:rsidRDefault="00AF52E1" w:rsidP="00F02EF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100</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conversion from diesel fuel used by municipal solid waste collection trucks to compressed natural gas or other alternative low emission fuels by 2035. [CAP]</w:t>
            </w:r>
          </w:p>
        </w:tc>
      </w:tr>
      <w:tr w:rsidR="00AF52E1" w:rsidRPr="00DE185C" w:rsidTr="00EC2AC9">
        <w:trPr>
          <w:trHeight w:val="288"/>
        </w:trPr>
        <w:tc>
          <w:tcPr>
            <w:tcW w:w="1879" w:type="dxa"/>
            <w:vMerge/>
            <w:tcBorders>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noWrap/>
            <w:vAlign w:val="center"/>
          </w:tcPr>
          <w:p w:rsidR="00AF52E1" w:rsidRPr="00DE185C" w:rsidRDefault="00AF52E1" w:rsidP="003425A8">
            <w:pPr>
              <w:spacing w:after="0" w:line="240" w:lineRule="auto"/>
              <w:jc w:val="center"/>
              <w:rPr>
                <w:rFonts w:ascii="Calibri" w:eastAsia="Times New Roman" w:hAnsi="Calibri" w:cs="Times New Roman"/>
                <w:color w:val="000000"/>
                <w:sz w:val="20"/>
                <w:szCs w:val="20"/>
              </w:rPr>
            </w:pPr>
          </w:p>
        </w:tc>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tcPr>
          <w:p w:rsidR="00AF52E1" w:rsidRPr="00DE185C" w:rsidRDefault="00AF52E1" w:rsidP="00E6142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 Progress</w:t>
            </w:r>
          </w:p>
        </w:tc>
        <w:tc>
          <w:tcPr>
            <w:tcW w:w="5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bottom"/>
          </w:tcPr>
          <w:p w:rsidR="00AF52E1" w:rsidRPr="00DE185C" w:rsidRDefault="00AF52E1" w:rsidP="00F02EF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Install and leverage installation of a network of 6,000 charging stations by 2020 and 30,000 by 2035, sufficient to support electric vehicle use equivalent to 4</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of total miles driven by 2020 and 25</w:t>
            </w:r>
            <w:r w:rsidR="005D6853">
              <w:rPr>
                <w:rFonts w:ascii="Calibri" w:eastAsia="Times New Roman" w:hAnsi="Calibri" w:cs="Times New Roman"/>
                <w:color w:val="000000"/>
                <w:sz w:val="20"/>
                <w:szCs w:val="20"/>
              </w:rPr>
              <w:t xml:space="preserve"> percent</w:t>
            </w:r>
            <w:r w:rsidRPr="00DE185C">
              <w:rPr>
                <w:rFonts w:ascii="Calibri" w:eastAsia="Times New Roman" w:hAnsi="Calibri" w:cs="Times New Roman"/>
                <w:color w:val="000000"/>
                <w:sz w:val="20"/>
                <w:szCs w:val="20"/>
              </w:rPr>
              <w:t xml:space="preserve"> by 2035.</w:t>
            </w:r>
            <w:r w:rsidR="009426DA">
              <w:rPr>
                <w:rFonts w:ascii="Calibri" w:eastAsia="Times New Roman" w:hAnsi="Calibri" w:cs="Times New Roman"/>
                <w:color w:val="000000"/>
                <w:sz w:val="20"/>
                <w:szCs w:val="20"/>
              </w:rPr>
              <w:t xml:space="preserve"> </w:t>
            </w:r>
            <w:r w:rsidRPr="00DE185C">
              <w:rPr>
                <w:rFonts w:ascii="Calibri" w:eastAsia="Times New Roman" w:hAnsi="Calibri" w:cs="Times New Roman"/>
                <w:color w:val="000000"/>
                <w:sz w:val="20"/>
                <w:szCs w:val="20"/>
              </w:rPr>
              <w:t xml:space="preserve">[CAP] </w:t>
            </w:r>
          </w:p>
        </w:tc>
      </w:tr>
      <w:tr w:rsidR="00AF52E1" w:rsidRPr="00DE185C" w:rsidTr="00EC2AC9">
        <w:trPr>
          <w:trHeight w:val="288"/>
        </w:trPr>
        <w:tc>
          <w:tcPr>
            <w:tcW w:w="18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DE8" w:themeFill="accent5" w:themeFillTint="66"/>
            <w:noWrap/>
            <w:vAlign w:val="center"/>
          </w:tcPr>
          <w:p w:rsidR="00AF52E1" w:rsidRPr="00DE185C" w:rsidRDefault="00AF52E1" w:rsidP="00954B9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Solana Beach</w:t>
            </w:r>
          </w:p>
        </w:tc>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DE8" w:themeFill="accent5" w:themeFillTint="66"/>
            <w:vAlign w:val="center"/>
          </w:tcPr>
          <w:p w:rsidR="00AF52E1" w:rsidRPr="00DE185C" w:rsidRDefault="00AF52E1" w:rsidP="00E6142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 Progress</w:t>
            </w:r>
          </w:p>
        </w:tc>
        <w:tc>
          <w:tcPr>
            <w:tcW w:w="5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DE8" w:themeFill="accent5" w:themeFillTint="66"/>
            <w:vAlign w:val="bottom"/>
          </w:tcPr>
          <w:p w:rsidR="00AF52E1" w:rsidRPr="00DE185C" w:rsidRDefault="00AF52E1" w:rsidP="00F02EFB">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Adopt electric vehicles into city fleet [CAP]</w:t>
            </w:r>
          </w:p>
        </w:tc>
      </w:tr>
      <w:tr w:rsidR="00AF52E1" w:rsidRPr="00DE185C" w:rsidTr="00EC2AC9">
        <w:trPr>
          <w:trHeight w:val="288"/>
        </w:trPr>
        <w:tc>
          <w:tcPr>
            <w:tcW w:w="18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noWrap/>
            <w:vAlign w:val="center"/>
          </w:tcPr>
          <w:p w:rsidR="00AF52E1" w:rsidRPr="00DE185C" w:rsidRDefault="00AF52E1" w:rsidP="00954B9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Santee</w:t>
            </w:r>
          </w:p>
        </w:tc>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tcPr>
          <w:p w:rsidR="00AF52E1" w:rsidRPr="00DE185C" w:rsidRDefault="00AF52E1" w:rsidP="00E6142E">
            <w:pPr>
              <w:spacing w:after="0" w:line="240" w:lineRule="auto"/>
              <w:jc w:val="center"/>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In Progress</w:t>
            </w:r>
          </w:p>
        </w:tc>
        <w:tc>
          <w:tcPr>
            <w:tcW w:w="5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bottom"/>
          </w:tcPr>
          <w:p w:rsidR="00AF52E1" w:rsidRPr="00DE185C" w:rsidRDefault="00AF52E1" w:rsidP="0068526D">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Will look to adopting more hybrid and alternative fuel vehicles as replacements are needed.</w:t>
            </w:r>
            <w:r w:rsidR="009426DA">
              <w:rPr>
                <w:rFonts w:ascii="Calibri" w:eastAsia="Times New Roman" w:hAnsi="Calibri" w:cs="Times New Roman"/>
                <w:color w:val="000000"/>
                <w:sz w:val="20"/>
                <w:szCs w:val="20"/>
              </w:rPr>
              <w:t xml:space="preserve"> </w:t>
            </w:r>
            <w:r w:rsidRPr="00DE185C">
              <w:rPr>
                <w:rFonts w:ascii="Calibri" w:eastAsia="Times New Roman" w:hAnsi="Calibri" w:cs="Times New Roman"/>
                <w:color w:val="000000"/>
                <w:sz w:val="20"/>
                <w:szCs w:val="20"/>
              </w:rPr>
              <w:t xml:space="preserve">[CAP] </w:t>
            </w:r>
          </w:p>
        </w:tc>
      </w:tr>
    </w:tbl>
    <w:p w:rsidR="00EC2AC9" w:rsidRPr="00DE185C" w:rsidRDefault="00EC2AC9" w:rsidP="00EC7E9A">
      <w:pPr>
        <w:rPr>
          <w:rFonts w:ascii="Calibri" w:eastAsiaTheme="majorEastAsia" w:hAnsi="Calibri"/>
        </w:rPr>
      </w:pPr>
    </w:p>
    <w:p w:rsidR="00CC066C" w:rsidRPr="00DE185C" w:rsidRDefault="00EC2AC9" w:rsidP="00EC7E9A">
      <w:pPr>
        <w:rPr>
          <w:rFonts w:ascii="Calibri" w:eastAsiaTheme="majorEastAsia" w:hAnsi="Calibri"/>
        </w:rPr>
      </w:pPr>
      <w:r w:rsidRPr="00DE185C">
        <w:rPr>
          <w:rFonts w:ascii="Calibri" w:eastAsiaTheme="majorEastAsia" w:hAnsi="Calibri"/>
        </w:rPr>
        <w:t xml:space="preserve">Aside from </w:t>
      </w:r>
      <w:r w:rsidR="009852A8">
        <w:rPr>
          <w:rFonts w:ascii="Calibri" w:eastAsiaTheme="majorEastAsia" w:hAnsi="Calibri"/>
        </w:rPr>
        <w:t>jurisdiction</w:t>
      </w:r>
      <w:r w:rsidRPr="00DE185C">
        <w:rPr>
          <w:rFonts w:ascii="Calibri" w:eastAsiaTheme="majorEastAsia" w:hAnsi="Calibri"/>
        </w:rPr>
        <w:t>-</w:t>
      </w:r>
      <w:r w:rsidR="009852A8">
        <w:rPr>
          <w:rFonts w:ascii="Calibri" w:eastAsiaTheme="majorEastAsia" w:hAnsi="Calibri"/>
        </w:rPr>
        <w:t>specific</w:t>
      </w:r>
      <w:r w:rsidR="009852A8" w:rsidRPr="00DE185C">
        <w:rPr>
          <w:rFonts w:ascii="Calibri" w:eastAsiaTheme="majorEastAsia" w:hAnsi="Calibri"/>
        </w:rPr>
        <w:t xml:space="preserve"> </w:t>
      </w:r>
      <w:r w:rsidRPr="00DE185C">
        <w:rPr>
          <w:rFonts w:ascii="Calibri" w:eastAsiaTheme="majorEastAsia" w:hAnsi="Calibri"/>
        </w:rPr>
        <w:t>climate and energy planning, SANDAG offer</w:t>
      </w:r>
      <w:r w:rsidR="003267D3">
        <w:rPr>
          <w:rFonts w:ascii="Calibri" w:eastAsiaTheme="majorEastAsia" w:hAnsi="Calibri"/>
        </w:rPr>
        <w:t>s the</w:t>
      </w:r>
      <w:r w:rsidRPr="00DE185C">
        <w:rPr>
          <w:rFonts w:ascii="Calibri" w:eastAsiaTheme="majorEastAsia" w:hAnsi="Calibri"/>
        </w:rPr>
        <w:t xml:space="preserve"> Energy Roadmap Program, which provide</w:t>
      </w:r>
      <w:r w:rsidR="00FF5C20">
        <w:rPr>
          <w:rFonts w:ascii="Calibri" w:eastAsiaTheme="majorEastAsia" w:hAnsi="Calibri"/>
        </w:rPr>
        <w:t>s</w:t>
      </w:r>
      <w:r w:rsidRPr="00DE185C">
        <w:rPr>
          <w:rFonts w:ascii="Calibri" w:eastAsiaTheme="majorEastAsia" w:hAnsi="Calibri"/>
        </w:rPr>
        <w:t xml:space="preserve"> energy management plans to its member agencies. A</w:t>
      </w:r>
      <w:r w:rsidR="00DA4133" w:rsidRPr="00DE185C">
        <w:rPr>
          <w:rFonts w:ascii="Calibri" w:eastAsiaTheme="majorEastAsia" w:hAnsi="Calibri"/>
        </w:rPr>
        <w:t xml:space="preserve">ll </w:t>
      </w:r>
      <w:r w:rsidR="003267D3">
        <w:rPr>
          <w:rFonts w:ascii="Calibri" w:eastAsiaTheme="majorEastAsia" w:hAnsi="Calibri"/>
        </w:rPr>
        <w:t>eligible jurisdictions are</w:t>
      </w:r>
      <w:r w:rsidR="00EE43B2" w:rsidRPr="00DE185C">
        <w:rPr>
          <w:rFonts w:ascii="Calibri" w:eastAsiaTheme="majorEastAsia" w:hAnsi="Calibri"/>
        </w:rPr>
        <w:t xml:space="preserve"> </w:t>
      </w:r>
      <w:r w:rsidR="00DA4133" w:rsidRPr="00DE185C">
        <w:rPr>
          <w:rFonts w:ascii="Calibri" w:eastAsiaTheme="majorEastAsia" w:hAnsi="Calibri"/>
        </w:rPr>
        <w:t>participat</w:t>
      </w:r>
      <w:r w:rsidR="003267D3">
        <w:rPr>
          <w:rFonts w:ascii="Calibri" w:eastAsiaTheme="majorEastAsia" w:hAnsi="Calibri"/>
        </w:rPr>
        <w:t>ing</w:t>
      </w:r>
      <w:r w:rsidR="00DA4133" w:rsidRPr="00DE185C">
        <w:rPr>
          <w:rFonts w:ascii="Calibri" w:eastAsiaTheme="majorEastAsia" w:hAnsi="Calibri"/>
        </w:rPr>
        <w:t xml:space="preserve"> in the Energy Roadmap Program with the majority having </w:t>
      </w:r>
      <w:r w:rsidR="00E962FE" w:rsidRPr="00DE185C">
        <w:rPr>
          <w:rFonts w:ascii="Calibri" w:eastAsiaTheme="majorEastAsia" w:hAnsi="Calibri"/>
        </w:rPr>
        <w:t xml:space="preserve">completed </w:t>
      </w:r>
      <w:r w:rsidR="002528F2" w:rsidRPr="00DE185C">
        <w:rPr>
          <w:rFonts w:ascii="Calibri" w:eastAsiaTheme="majorEastAsia" w:hAnsi="Calibri"/>
        </w:rPr>
        <w:t>Energy Roadmaps</w:t>
      </w:r>
      <w:r w:rsidR="009852A8">
        <w:rPr>
          <w:rFonts w:ascii="Calibri" w:eastAsiaTheme="majorEastAsia" w:hAnsi="Calibri"/>
        </w:rPr>
        <w:t xml:space="preserve"> (Roadmap)</w:t>
      </w:r>
      <w:r w:rsidR="00DA4133" w:rsidRPr="00DE185C">
        <w:rPr>
          <w:rFonts w:ascii="Calibri" w:eastAsiaTheme="majorEastAsia" w:hAnsi="Calibri"/>
        </w:rPr>
        <w:t xml:space="preserve">. </w:t>
      </w:r>
      <w:r w:rsidR="00AB086B" w:rsidRPr="00DE185C">
        <w:rPr>
          <w:rFonts w:ascii="Calibri" w:eastAsiaTheme="majorEastAsia" w:hAnsi="Calibri"/>
        </w:rPr>
        <w:t xml:space="preserve">Each </w:t>
      </w:r>
      <w:r w:rsidR="009852A8">
        <w:rPr>
          <w:rFonts w:ascii="Calibri" w:eastAsiaTheme="majorEastAsia" w:hAnsi="Calibri"/>
        </w:rPr>
        <w:t>R</w:t>
      </w:r>
      <w:r w:rsidR="00AB086B" w:rsidRPr="00DE185C">
        <w:rPr>
          <w:rFonts w:ascii="Calibri" w:eastAsiaTheme="majorEastAsia" w:hAnsi="Calibri"/>
        </w:rPr>
        <w:t>oadmap provides a personalized framework for a local government to reduce energy use in their municipal operations and community. Within each</w:t>
      </w:r>
      <w:r w:rsidR="009426DA">
        <w:rPr>
          <w:rFonts w:ascii="Calibri" w:eastAsiaTheme="majorEastAsia" w:hAnsi="Calibri"/>
        </w:rPr>
        <w:t xml:space="preserve"> </w:t>
      </w:r>
      <w:r w:rsidR="002D1D0A">
        <w:rPr>
          <w:rFonts w:ascii="Calibri" w:eastAsiaTheme="majorEastAsia" w:hAnsi="Calibri"/>
        </w:rPr>
        <w:t>E</w:t>
      </w:r>
      <w:r w:rsidR="00AB086B" w:rsidRPr="00DE185C">
        <w:rPr>
          <w:rFonts w:ascii="Calibri" w:eastAsiaTheme="majorEastAsia" w:hAnsi="Calibri"/>
        </w:rPr>
        <w:t xml:space="preserve">nergy </w:t>
      </w:r>
      <w:r w:rsidR="002D1D0A">
        <w:rPr>
          <w:rFonts w:ascii="Calibri" w:eastAsiaTheme="majorEastAsia" w:hAnsi="Calibri"/>
        </w:rPr>
        <w:t>R</w:t>
      </w:r>
      <w:r w:rsidR="002528F2" w:rsidRPr="00DE185C">
        <w:rPr>
          <w:rFonts w:ascii="Calibri" w:eastAsiaTheme="majorEastAsia" w:hAnsi="Calibri"/>
        </w:rPr>
        <w:t xml:space="preserve">oadmap </w:t>
      </w:r>
      <w:r w:rsidR="00AB086B" w:rsidRPr="00DE185C">
        <w:rPr>
          <w:rFonts w:ascii="Calibri" w:eastAsiaTheme="majorEastAsia" w:hAnsi="Calibri"/>
        </w:rPr>
        <w:t xml:space="preserve">is </w:t>
      </w:r>
      <w:r w:rsidR="003267D3">
        <w:rPr>
          <w:rFonts w:ascii="Calibri" w:eastAsiaTheme="majorEastAsia" w:hAnsi="Calibri"/>
        </w:rPr>
        <w:t>a</w:t>
      </w:r>
      <w:r w:rsidR="00AB086B" w:rsidRPr="00DE185C">
        <w:rPr>
          <w:rFonts w:ascii="Calibri" w:eastAsiaTheme="majorEastAsia" w:hAnsi="Calibri"/>
        </w:rPr>
        <w:t xml:space="preserve"> chapter devoted to “Greening the City Vehicle Fleet</w:t>
      </w:r>
      <w:r w:rsidR="007F0896" w:rsidRPr="00DE185C">
        <w:rPr>
          <w:rFonts w:ascii="Calibri" w:eastAsiaTheme="majorEastAsia" w:hAnsi="Calibri"/>
        </w:rPr>
        <w:t>,</w:t>
      </w:r>
      <w:r w:rsidR="00AB086B" w:rsidRPr="00DE185C">
        <w:rPr>
          <w:rFonts w:ascii="Calibri" w:eastAsiaTheme="majorEastAsia" w:hAnsi="Calibri"/>
        </w:rPr>
        <w:t xml:space="preserve">” emphasizing how </w:t>
      </w:r>
      <w:r w:rsidR="002528F2" w:rsidRPr="00DE185C">
        <w:rPr>
          <w:rFonts w:ascii="Calibri" w:eastAsiaTheme="majorEastAsia" w:hAnsi="Calibri"/>
        </w:rPr>
        <w:t xml:space="preserve">alternative fuel vehicles can help cities achieve transportation-related energy savings </w:t>
      </w:r>
      <w:r w:rsidR="00AB086B" w:rsidRPr="00DE185C">
        <w:rPr>
          <w:rFonts w:ascii="Calibri" w:eastAsiaTheme="majorEastAsia" w:hAnsi="Calibri"/>
        </w:rPr>
        <w:t xml:space="preserve">goals </w:t>
      </w:r>
      <w:r w:rsidR="002528F2" w:rsidRPr="00DE185C">
        <w:rPr>
          <w:rFonts w:ascii="Calibri" w:eastAsiaTheme="majorEastAsia" w:hAnsi="Calibri"/>
        </w:rPr>
        <w:t>and reduce petroleum use.</w:t>
      </w:r>
      <w:r w:rsidR="00EC7E9A" w:rsidRPr="00DE185C">
        <w:rPr>
          <w:rFonts w:ascii="Calibri" w:eastAsiaTheme="majorEastAsia" w:hAnsi="Calibri"/>
        </w:rPr>
        <w:t xml:space="preserve"> </w:t>
      </w:r>
    </w:p>
    <w:p w:rsidR="00CC066C" w:rsidRPr="00DE185C" w:rsidRDefault="003267D3" w:rsidP="00EC7E9A">
      <w:pPr>
        <w:rPr>
          <w:rFonts w:ascii="Calibri" w:eastAsiaTheme="majorEastAsia" w:hAnsi="Calibri"/>
        </w:rPr>
      </w:pPr>
      <w:r>
        <w:rPr>
          <w:rFonts w:ascii="Calibri" w:eastAsiaTheme="majorEastAsia" w:hAnsi="Calibri"/>
        </w:rPr>
        <w:t>S</w:t>
      </w:r>
      <w:r w:rsidR="00CC066C" w:rsidRPr="00DE185C">
        <w:rPr>
          <w:rFonts w:ascii="Calibri" w:eastAsiaTheme="majorEastAsia" w:hAnsi="Calibri"/>
        </w:rPr>
        <w:t xml:space="preserve">ince the completion and adoption of the </w:t>
      </w:r>
      <w:r>
        <w:rPr>
          <w:rFonts w:ascii="Calibri" w:eastAsiaTheme="majorEastAsia" w:hAnsi="Calibri"/>
        </w:rPr>
        <w:t xml:space="preserve">Regional </w:t>
      </w:r>
      <w:r w:rsidR="00CC066C" w:rsidRPr="00DE185C">
        <w:rPr>
          <w:rFonts w:ascii="Calibri" w:eastAsiaTheme="majorEastAsia" w:hAnsi="Calibri"/>
        </w:rPr>
        <w:t>PEV Readiness Plan in early 2014, 61</w:t>
      </w:r>
      <w:r w:rsidR="005D6853">
        <w:rPr>
          <w:rFonts w:ascii="Calibri" w:eastAsiaTheme="majorEastAsia" w:hAnsi="Calibri"/>
        </w:rPr>
        <w:t xml:space="preserve"> percent</w:t>
      </w:r>
      <w:r w:rsidR="00CC066C" w:rsidRPr="00DE185C">
        <w:rPr>
          <w:rFonts w:ascii="Calibri" w:eastAsiaTheme="majorEastAsia" w:hAnsi="Calibri"/>
        </w:rPr>
        <w:t xml:space="preserve"> of Public Agency Survey respondents have used the PEV Readiness Plan as a guidance document when developing strategies or policies. However, only 30</w:t>
      </w:r>
      <w:r w:rsidR="005D6853">
        <w:rPr>
          <w:rFonts w:ascii="Calibri" w:eastAsiaTheme="majorEastAsia" w:hAnsi="Calibri"/>
        </w:rPr>
        <w:t xml:space="preserve"> percent</w:t>
      </w:r>
      <w:r w:rsidR="00CC066C" w:rsidRPr="00DE185C">
        <w:rPr>
          <w:rFonts w:ascii="Calibri" w:eastAsiaTheme="majorEastAsia" w:hAnsi="Calibri"/>
        </w:rPr>
        <w:t xml:space="preserve"> have actually implemented some of the </w:t>
      </w:r>
      <w:r w:rsidR="002D1D0A">
        <w:rPr>
          <w:rFonts w:ascii="Calibri" w:eastAsiaTheme="majorEastAsia" w:hAnsi="Calibri"/>
        </w:rPr>
        <w:t xml:space="preserve">PEV </w:t>
      </w:r>
      <w:r w:rsidR="00CC066C" w:rsidRPr="00DE185C">
        <w:rPr>
          <w:rFonts w:ascii="Calibri" w:eastAsiaTheme="majorEastAsia" w:hAnsi="Calibri"/>
        </w:rPr>
        <w:t>Readiness Plan’s recommendations and/or incorporated them into their jurisdiction’s policies and/or practices.</w:t>
      </w:r>
    </w:p>
    <w:p w:rsidR="00524127" w:rsidRPr="00DE185C" w:rsidRDefault="00CC066C" w:rsidP="00EC7E9A">
      <w:pPr>
        <w:rPr>
          <w:rFonts w:ascii="Calibri" w:eastAsiaTheme="majorEastAsia" w:hAnsi="Calibri"/>
        </w:rPr>
      </w:pPr>
      <w:r w:rsidRPr="00DE185C">
        <w:rPr>
          <w:rFonts w:ascii="Calibri" w:eastAsiaTheme="majorEastAsia" w:hAnsi="Calibri"/>
        </w:rPr>
        <w:t>Among the several planning documents available and developed by jurisdictions, there are k</w:t>
      </w:r>
      <w:r w:rsidR="00524127" w:rsidRPr="00DE185C">
        <w:rPr>
          <w:rFonts w:ascii="Calibri" w:eastAsiaTheme="majorEastAsia" w:hAnsi="Calibri"/>
        </w:rPr>
        <w:t xml:space="preserve">ey strategies that are prevalent among </w:t>
      </w:r>
      <w:r w:rsidRPr="00DE185C">
        <w:rPr>
          <w:rFonts w:ascii="Calibri" w:eastAsiaTheme="majorEastAsia" w:hAnsi="Calibri"/>
        </w:rPr>
        <w:t>them all, which include</w:t>
      </w:r>
      <w:r w:rsidR="00524127" w:rsidRPr="00DE185C">
        <w:rPr>
          <w:rFonts w:ascii="Calibri" w:eastAsiaTheme="majorEastAsia" w:hAnsi="Calibri"/>
        </w:rPr>
        <w:t>:</w:t>
      </w:r>
    </w:p>
    <w:p w:rsidR="00524127" w:rsidRPr="00DE185C" w:rsidRDefault="00524127" w:rsidP="00524127">
      <w:pPr>
        <w:pStyle w:val="ListParagraph"/>
        <w:numPr>
          <w:ilvl w:val="0"/>
          <w:numId w:val="17"/>
        </w:numPr>
        <w:rPr>
          <w:rFonts w:ascii="Calibri" w:eastAsiaTheme="majorEastAsia" w:hAnsi="Calibri"/>
        </w:rPr>
      </w:pPr>
      <w:r w:rsidRPr="00DE185C">
        <w:rPr>
          <w:rFonts w:ascii="Calibri" w:eastAsiaTheme="majorEastAsia" w:hAnsi="Calibri"/>
        </w:rPr>
        <w:t xml:space="preserve">Replacing vehicles in government and contractors’ fleets with alternative fuel vehicles </w:t>
      </w:r>
    </w:p>
    <w:p w:rsidR="00524127" w:rsidRPr="00DE185C" w:rsidRDefault="00524127" w:rsidP="00524127">
      <w:pPr>
        <w:pStyle w:val="ListParagraph"/>
        <w:numPr>
          <w:ilvl w:val="0"/>
          <w:numId w:val="17"/>
        </w:numPr>
        <w:rPr>
          <w:rFonts w:ascii="Calibri" w:eastAsiaTheme="majorEastAsia" w:hAnsi="Calibri"/>
        </w:rPr>
      </w:pPr>
      <w:r w:rsidRPr="00DE185C">
        <w:rPr>
          <w:rFonts w:ascii="Calibri" w:eastAsiaTheme="majorEastAsia" w:hAnsi="Calibri"/>
        </w:rPr>
        <w:t xml:space="preserve">Increasing the number of alternative fuel stations available for the public </w:t>
      </w:r>
    </w:p>
    <w:p w:rsidR="00524127" w:rsidRPr="00DE185C" w:rsidRDefault="00524127" w:rsidP="00524127">
      <w:pPr>
        <w:pStyle w:val="ListParagraph"/>
        <w:numPr>
          <w:ilvl w:val="0"/>
          <w:numId w:val="17"/>
        </w:numPr>
        <w:rPr>
          <w:rFonts w:ascii="Calibri" w:eastAsiaTheme="majorEastAsia" w:hAnsi="Calibri"/>
        </w:rPr>
      </w:pPr>
      <w:r w:rsidRPr="00DE185C">
        <w:rPr>
          <w:rFonts w:ascii="Calibri" w:eastAsiaTheme="majorEastAsia" w:hAnsi="Calibri"/>
        </w:rPr>
        <w:t>Increase the number of alternative fuel vehicles in government fleet</w:t>
      </w:r>
      <w:r w:rsidR="00672E60">
        <w:rPr>
          <w:rFonts w:ascii="Calibri" w:eastAsiaTheme="majorEastAsia" w:hAnsi="Calibri"/>
        </w:rPr>
        <w:t>s</w:t>
      </w:r>
      <w:r w:rsidRPr="00DE185C">
        <w:rPr>
          <w:rFonts w:ascii="Calibri" w:eastAsiaTheme="majorEastAsia" w:hAnsi="Calibri"/>
        </w:rPr>
        <w:t xml:space="preserve"> </w:t>
      </w:r>
    </w:p>
    <w:p w:rsidR="007A7EFD" w:rsidRPr="00DE185C" w:rsidRDefault="00524127" w:rsidP="007A7EFD">
      <w:pPr>
        <w:pStyle w:val="ListParagraph"/>
        <w:numPr>
          <w:ilvl w:val="0"/>
          <w:numId w:val="17"/>
        </w:numPr>
        <w:rPr>
          <w:rFonts w:ascii="Calibri" w:eastAsiaTheme="majorEastAsia" w:hAnsi="Calibri"/>
        </w:rPr>
      </w:pPr>
      <w:r w:rsidRPr="00DE185C">
        <w:rPr>
          <w:rFonts w:ascii="Calibri" w:eastAsiaTheme="majorEastAsia" w:hAnsi="Calibri"/>
        </w:rPr>
        <w:t xml:space="preserve">Streamlining permitting for alternative fuel infrastructure </w:t>
      </w:r>
    </w:p>
    <w:p w:rsidR="00524127" w:rsidRPr="00DE185C" w:rsidRDefault="00524127" w:rsidP="00EE0C47">
      <w:pPr>
        <w:pStyle w:val="Heading2"/>
        <w:rPr>
          <w:rFonts w:ascii="Calibri" w:hAnsi="Calibri"/>
        </w:rPr>
      </w:pPr>
      <w:bookmarkStart w:id="24" w:name="_Toc410636697"/>
      <w:bookmarkStart w:id="25" w:name="_Toc416259239"/>
      <w:r w:rsidRPr="00DE185C">
        <w:rPr>
          <w:rFonts w:ascii="Calibri" w:hAnsi="Calibri"/>
        </w:rPr>
        <w:t>San Diego</w:t>
      </w:r>
      <w:r w:rsidR="00605643" w:rsidRPr="00DE185C">
        <w:rPr>
          <w:rFonts w:ascii="Calibri" w:hAnsi="Calibri"/>
        </w:rPr>
        <w:t xml:space="preserve"> Region</w:t>
      </w:r>
      <w:r w:rsidRPr="00DE185C">
        <w:rPr>
          <w:rFonts w:ascii="Calibri" w:hAnsi="Calibri"/>
        </w:rPr>
        <w:t xml:space="preserve"> Greenhouse Gas Reductions</w:t>
      </w:r>
      <w:bookmarkEnd w:id="24"/>
      <w:bookmarkEnd w:id="25"/>
    </w:p>
    <w:p w:rsidR="00D95E1A" w:rsidRPr="00DE185C" w:rsidRDefault="00524127" w:rsidP="00524127">
      <w:pPr>
        <w:rPr>
          <w:rFonts w:ascii="Calibri" w:hAnsi="Calibri"/>
        </w:rPr>
      </w:pPr>
      <w:r w:rsidRPr="00DE185C">
        <w:rPr>
          <w:rFonts w:ascii="Calibri" w:hAnsi="Calibri"/>
        </w:rPr>
        <w:t xml:space="preserve">The </w:t>
      </w:r>
      <w:r w:rsidR="00916C5D" w:rsidRPr="00DE185C">
        <w:rPr>
          <w:rFonts w:ascii="Calibri" w:hAnsi="Calibri"/>
        </w:rPr>
        <w:t xml:space="preserve">San Diego </w:t>
      </w:r>
      <w:r w:rsidRPr="00DE185C">
        <w:rPr>
          <w:rFonts w:ascii="Calibri" w:hAnsi="Calibri"/>
        </w:rPr>
        <w:t xml:space="preserve">region is progressing toward </w:t>
      </w:r>
      <w:r w:rsidR="00C8755B" w:rsidRPr="00DE185C">
        <w:rPr>
          <w:rFonts w:ascii="Calibri" w:hAnsi="Calibri"/>
        </w:rPr>
        <w:t xml:space="preserve">petroleum reduction goals </w:t>
      </w:r>
      <w:r w:rsidRPr="00DE185C">
        <w:rPr>
          <w:rFonts w:ascii="Calibri" w:hAnsi="Calibri"/>
        </w:rPr>
        <w:t xml:space="preserve">similar to those of the State. </w:t>
      </w:r>
      <w:r w:rsidR="00E86C25" w:rsidRPr="00DE185C">
        <w:rPr>
          <w:rFonts w:ascii="Calibri" w:hAnsi="Calibri"/>
        </w:rPr>
        <w:t xml:space="preserve">While the region does not have </w:t>
      </w:r>
      <w:r w:rsidR="004A7DE1" w:rsidRPr="00DE185C">
        <w:rPr>
          <w:rFonts w:ascii="Calibri" w:hAnsi="Calibri"/>
        </w:rPr>
        <w:t>defined</w:t>
      </w:r>
      <w:r w:rsidR="00E86C25" w:rsidRPr="00DE185C">
        <w:rPr>
          <w:rFonts w:ascii="Calibri" w:hAnsi="Calibri"/>
        </w:rPr>
        <w:t xml:space="preserve"> </w:t>
      </w:r>
      <w:r w:rsidR="00C8755B" w:rsidRPr="00DE185C">
        <w:rPr>
          <w:rFonts w:ascii="Calibri" w:hAnsi="Calibri"/>
        </w:rPr>
        <w:t>petroleum</w:t>
      </w:r>
      <w:r w:rsidR="00E86C25" w:rsidRPr="00DE185C">
        <w:rPr>
          <w:rFonts w:ascii="Calibri" w:hAnsi="Calibri"/>
        </w:rPr>
        <w:t xml:space="preserve"> reduction mandates, </w:t>
      </w:r>
      <w:r w:rsidR="00C8755B" w:rsidRPr="00DE185C">
        <w:rPr>
          <w:rFonts w:ascii="Calibri" w:hAnsi="Calibri"/>
        </w:rPr>
        <w:t xml:space="preserve">the region could follow the general guideline </w:t>
      </w:r>
      <w:r w:rsidR="004A7DE1" w:rsidRPr="00DE185C">
        <w:rPr>
          <w:rFonts w:ascii="Calibri" w:hAnsi="Calibri"/>
        </w:rPr>
        <w:t>set forth by</w:t>
      </w:r>
      <w:r w:rsidR="00C8755B" w:rsidRPr="00DE185C">
        <w:rPr>
          <w:rFonts w:ascii="Calibri" w:hAnsi="Calibri"/>
        </w:rPr>
        <w:t xml:space="preserve"> AB 1007,</w:t>
      </w:r>
      <w:r w:rsidR="009426DA">
        <w:rPr>
          <w:rFonts w:ascii="Calibri" w:hAnsi="Calibri"/>
        </w:rPr>
        <w:t xml:space="preserve"> </w:t>
      </w:r>
      <w:r w:rsidRPr="00DE185C">
        <w:rPr>
          <w:rFonts w:ascii="Calibri" w:hAnsi="Calibri"/>
        </w:rPr>
        <w:t>to reduce petroleum fuel use to 15</w:t>
      </w:r>
      <w:r w:rsidR="005D6853">
        <w:rPr>
          <w:rFonts w:ascii="Calibri" w:hAnsi="Calibri"/>
        </w:rPr>
        <w:t xml:space="preserve"> percent</w:t>
      </w:r>
      <w:r w:rsidRPr="00DE185C">
        <w:rPr>
          <w:rFonts w:ascii="Calibri" w:hAnsi="Calibri"/>
        </w:rPr>
        <w:t xml:space="preserve"> below 2003 levels by 2020. </w:t>
      </w:r>
      <w:r w:rsidR="00ED1149">
        <w:rPr>
          <w:rFonts w:ascii="Calibri" w:hAnsi="Calibri"/>
        </w:rPr>
        <w:t>Table 4-</w:t>
      </w:r>
      <w:r w:rsidR="001B3DF5">
        <w:rPr>
          <w:rFonts w:ascii="Calibri" w:hAnsi="Calibri"/>
        </w:rPr>
        <w:t>3</w:t>
      </w:r>
      <w:r w:rsidRPr="00DE185C">
        <w:rPr>
          <w:rFonts w:ascii="Calibri" w:hAnsi="Calibri"/>
        </w:rPr>
        <w:t xml:space="preserve"> shows the</w:t>
      </w:r>
      <w:r w:rsidR="00E86C25" w:rsidRPr="00DE185C">
        <w:rPr>
          <w:rFonts w:ascii="Calibri" w:hAnsi="Calibri"/>
        </w:rPr>
        <w:t xml:space="preserve"> theoretical</w:t>
      </w:r>
      <w:r w:rsidRPr="00DE185C">
        <w:rPr>
          <w:rFonts w:ascii="Calibri" w:hAnsi="Calibri"/>
        </w:rPr>
        <w:t xml:space="preserve"> reductions the region </w:t>
      </w:r>
      <w:r w:rsidR="00D4024E" w:rsidRPr="00DE185C">
        <w:rPr>
          <w:rFonts w:ascii="Calibri" w:hAnsi="Calibri"/>
        </w:rPr>
        <w:t xml:space="preserve">as a whole </w:t>
      </w:r>
      <w:r w:rsidR="00F42E5B" w:rsidRPr="00DE185C">
        <w:rPr>
          <w:rFonts w:ascii="Calibri" w:hAnsi="Calibri"/>
        </w:rPr>
        <w:t xml:space="preserve">would </w:t>
      </w:r>
      <w:r w:rsidRPr="00DE185C">
        <w:rPr>
          <w:rFonts w:ascii="Calibri" w:hAnsi="Calibri"/>
        </w:rPr>
        <w:t xml:space="preserve">need </w:t>
      </w:r>
      <w:r w:rsidR="00F42E5B" w:rsidRPr="00DE185C">
        <w:rPr>
          <w:rFonts w:ascii="Calibri" w:hAnsi="Calibri"/>
        </w:rPr>
        <w:t xml:space="preserve">to </w:t>
      </w:r>
      <w:r w:rsidR="00D4024E" w:rsidRPr="00DE185C">
        <w:rPr>
          <w:rFonts w:ascii="Calibri" w:hAnsi="Calibri"/>
        </w:rPr>
        <w:t xml:space="preserve">achieve </w:t>
      </w:r>
      <w:r w:rsidRPr="00DE185C">
        <w:rPr>
          <w:rFonts w:ascii="Calibri" w:hAnsi="Calibri"/>
        </w:rPr>
        <w:t xml:space="preserve">in order to reach </w:t>
      </w:r>
      <w:r w:rsidR="00D4024E" w:rsidRPr="00DE185C">
        <w:rPr>
          <w:rFonts w:ascii="Calibri" w:hAnsi="Calibri"/>
        </w:rPr>
        <w:t xml:space="preserve">the State’s </w:t>
      </w:r>
      <w:r w:rsidR="00C8755B" w:rsidRPr="00DE185C">
        <w:rPr>
          <w:rFonts w:ascii="Calibri" w:hAnsi="Calibri"/>
        </w:rPr>
        <w:t>petroleum reduction</w:t>
      </w:r>
      <w:r w:rsidRPr="00DE185C">
        <w:rPr>
          <w:rFonts w:ascii="Calibri" w:hAnsi="Calibri"/>
        </w:rPr>
        <w:t xml:space="preserve"> target. </w:t>
      </w:r>
    </w:p>
    <w:p w:rsidR="00524127" w:rsidRPr="00DE185C" w:rsidRDefault="00524127" w:rsidP="00C768E1">
      <w:pPr>
        <w:pStyle w:val="Heading5"/>
        <w:rPr>
          <w:rStyle w:val="BookTitle"/>
          <w:rFonts w:ascii="Calibri" w:hAnsi="Calibri"/>
        </w:rPr>
      </w:pPr>
      <w:bookmarkStart w:id="26" w:name="_Toc416259319"/>
      <w:r w:rsidRPr="00DE185C">
        <w:rPr>
          <w:rStyle w:val="BookTitle"/>
          <w:rFonts w:ascii="Calibri" w:hAnsi="Calibri"/>
          <w:b/>
          <w:sz w:val="24"/>
        </w:rPr>
        <w:t>Table 4</w:t>
      </w:r>
      <w:r w:rsidR="0073269A" w:rsidRPr="00DE185C">
        <w:rPr>
          <w:rStyle w:val="BookTitle"/>
          <w:rFonts w:ascii="Calibri" w:hAnsi="Calibri"/>
          <w:b/>
          <w:sz w:val="24"/>
        </w:rPr>
        <w:t>-</w:t>
      </w:r>
      <w:r w:rsidR="006A3734">
        <w:rPr>
          <w:rStyle w:val="BookTitle"/>
          <w:rFonts w:ascii="Calibri" w:hAnsi="Calibri"/>
          <w:b/>
          <w:sz w:val="24"/>
        </w:rPr>
        <w:t>3</w:t>
      </w:r>
      <w:r w:rsidRPr="00DE185C">
        <w:rPr>
          <w:rStyle w:val="BookTitle"/>
          <w:rFonts w:ascii="Calibri" w:hAnsi="Calibri"/>
          <w:b/>
          <w:sz w:val="24"/>
        </w:rPr>
        <w:t>:</w:t>
      </w:r>
      <w:r w:rsidR="00C507A7">
        <w:rPr>
          <w:rStyle w:val="BookTitle"/>
          <w:rFonts w:ascii="Calibri" w:hAnsi="Calibri"/>
          <w:b/>
          <w:sz w:val="24"/>
        </w:rPr>
        <w:t xml:space="preserve"> Theoretical</w:t>
      </w:r>
      <w:r w:rsidR="003A1285">
        <w:rPr>
          <w:rStyle w:val="BookTitle"/>
          <w:rFonts w:ascii="Calibri" w:hAnsi="Calibri"/>
          <w:b/>
          <w:sz w:val="24"/>
        </w:rPr>
        <w:t xml:space="preserve"> </w:t>
      </w:r>
      <w:r w:rsidRPr="00DE185C">
        <w:rPr>
          <w:rStyle w:val="BookTitle"/>
          <w:rFonts w:ascii="Calibri" w:hAnsi="Calibri"/>
          <w:b/>
          <w:sz w:val="24"/>
        </w:rPr>
        <w:t>San Diego</w:t>
      </w:r>
      <w:r w:rsidR="00605643" w:rsidRPr="00DE185C">
        <w:rPr>
          <w:rStyle w:val="BookTitle"/>
          <w:rFonts w:ascii="Calibri" w:hAnsi="Calibri"/>
          <w:b/>
          <w:sz w:val="24"/>
        </w:rPr>
        <w:t xml:space="preserve"> Region</w:t>
      </w:r>
      <w:r w:rsidR="004B510B">
        <w:rPr>
          <w:rStyle w:val="BookTitle"/>
          <w:rFonts w:ascii="Calibri" w:hAnsi="Calibri"/>
          <w:b/>
          <w:sz w:val="24"/>
        </w:rPr>
        <w:t>al</w:t>
      </w:r>
      <w:r w:rsidRPr="00DE185C">
        <w:rPr>
          <w:rStyle w:val="BookTitle"/>
          <w:rFonts w:ascii="Calibri" w:hAnsi="Calibri"/>
          <w:b/>
          <w:sz w:val="24"/>
        </w:rPr>
        <w:t xml:space="preserve"> Petroleum Reduction Goals</w:t>
      </w:r>
      <w:r w:rsidRPr="00DE185C">
        <w:rPr>
          <w:rStyle w:val="FootnoteReference"/>
          <w:b w:val="0"/>
          <w:bCs/>
          <w:spacing w:val="5"/>
        </w:rPr>
        <w:footnoteReference w:id="14"/>
      </w:r>
      <w:bookmarkEnd w:id="26"/>
    </w:p>
    <w:tbl>
      <w:tblPr>
        <w:tblW w:w="90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600" w:firstRow="0" w:lastRow="0" w:firstColumn="0" w:lastColumn="0" w:noHBand="1" w:noVBand="1"/>
      </w:tblPr>
      <w:tblGrid>
        <w:gridCol w:w="2144"/>
        <w:gridCol w:w="1840"/>
        <w:gridCol w:w="1706"/>
        <w:gridCol w:w="1621"/>
        <w:gridCol w:w="1706"/>
      </w:tblGrid>
      <w:tr w:rsidR="00857F51" w:rsidRPr="00DE185C" w:rsidTr="008C5E54">
        <w:trPr>
          <w:trHeight w:val="560"/>
        </w:trPr>
        <w:tc>
          <w:tcPr>
            <w:tcW w:w="2144" w:type="dxa"/>
            <w:shd w:val="clear" w:color="auto" w:fill="314B5A"/>
            <w:tcMar>
              <w:top w:w="15" w:type="dxa"/>
              <w:left w:w="15" w:type="dxa"/>
              <w:bottom w:w="0" w:type="dxa"/>
              <w:right w:w="15" w:type="dxa"/>
            </w:tcMar>
            <w:vAlign w:val="center"/>
            <w:hideMark/>
          </w:tcPr>
          <w:p w:rsidR="00524127" w:rsidRPr="00DE185C" w:rsidRDefault="00524127" w:rsidP="002E1FA2">
            <w:pPr>
              <w:spacing w:after="0" w:line="240" w:lineRule="auto"/>
              <w:jc w:val="center"/>
              <w:rPr>
                <w:rFonts w:ascii="Calibri" w:hAnsi="Calibri"/>
                <w:color w:val="FFFFFF" w:themeColor="background1"/>
              </w:rPr>
            </w:pPr>
            <w:r w:rsidRPr="00DE185C">
              <w:rPr>
                <w:rFonts w:ascii="Calibri" w:hAnsi="Calibri"/>
                <w:b/>
                <w:bCs/>
                <w:color w:val="FFFFFF" w:themeColor="background1"/>
              </w:rPr>
              <w:t>Category</w:t>
            </w:r>
          </w:p>
        </w:tc>
        <w:tc>
          <w:tcPr>
            <w:tcW w:w="1840" w:type="dxa"/>
            <w:shd w:val="clear" w:color="auto" w:fill="314B5A"/>
            <w:tcMar>
              <w:top w:w="15" w:type="dxa"/>
              <w:left w:w="15" w:type="dxa"/>
              <w:bottom w:w="0" w:type="dxa"/>
              <w:right w:w="15" w:type="dxa"/>
            </w:tcMar>
            <w:vAlign w:val="center"/>
            <w:hideMark/>
          </w:tcPr>
          <w:p w:rsidR="00524127" w:rsidRPr="00DE185C" w:rsidRDefault="00524127" w:rsidP="002E1FA2">
            <w:pPr>
              <w:spacing w:after="0" w:line="240" w:lineRule="auto"/>
              <w:jc w:val="center"/>
              <w:rPr>
                <w:rFonts w:ascii="Calibri" w:hAnsi="Calibri"/>
                <w:color w:val="FFFFFF" w:themeColor="background1"/>
              </w:rPr>
            </w:pPr>
            <w:r w:rsidRPr="00DE185C">
              <w:rPr>
                <w:rFonts w:ascii="Calibri" w:hAnsi="Calibri"/>
                <w:b/>
                <w:bCs/>
                <w:color w:val="FFFFFF" w:themeColor="background1"/>
              </w:rPr>
              <w:t>2011</w:t>
            </w:r>
          </w:p>
        </w:tc>
        <w:tc>
          <w:tcPr>
            <w:tcW w:w="1706" w:type="dxa"/>
            <w:shd w:val="clear" w:color="auto" w:fill="314B5A"/>
            <w:tcMar>
              <w:top w:w="15" w:type="dxa"/>
              <w:left w:w="15" w:type="dxa"/>
              <w:bottom w:w="0" w:type="dxa"/>
              <w:right w:w="15" w:type="dxa"/>
            </w:tcMar>
            <w:vAlign w:val="center"/>
            <w:hideMark/>
          </w:tcPr>
          <w:p w:rsidR="00524127" w:rsidRPr="00DE185C" w:rsidRDefault="00524127" w:rsidP="002E1FA2">
            <w:pPr>
              <w:spacing w:after="0" w:line="240" w:lineRule="auto"/>
              <w:jc w:val="center"/>
              <w:rPr>
                <w:rFonts w:ascii="Calibri" w:hAnsi="Calibri"/>
                <w:color w:val="FFFFFF" w:themeColor="background1"/>
              </w:rPr>
            </w:pPr>
            <w:r w:rsidRPr="00DE185C">
              <w:rPr>
                <w:rFonts w:ascii="Calibri" w:hAnsi="Calibri"/>
                <w:b/>
                <w:bCs/>
                <w:color w:val="FFFFFF" w:themeColor="background1"/>
              </w:rPr>
              <w:t>2020 Forecasted</w:t>
            </w:r>
          </w:p>
        </w:tc>
        <w:tc>
          <w:tcPr>
            <w:tcW w:w="1621" w:type="dxa"/>
            <w:shd w:val="clear" w:color="auto" w:fill="314B5A"/>
            <w:tcMar>
              <w:top w:w="15" w:type="dxa"/>
              <w:left w:w="15" w:type="dxa"/>
              <w:bottom w:w="0" w:type="dxa"/>
              <w:right w:w="15" w:type="dxa"/>
            </w:tcMar>
            <w:vAlign w:val="center"/>
            <w:hideMark/>
          </w:tcPr>
          <w:p w:rsidR="00524127" w:rsidRPr="00DE185C" w:rsidRDefault="00524127" w:rsidP="002E1FA2">
            <w:pPr>
              <w:spacing w:after="0" w:line="240" w:lineRule="auto"/>
              <w:jc w:val="center"/>
              <w:rPr>
                <w:rFonts w:ascii="Calibri" w:hAnsi="Calibri"/>
                <w:color w:val="FFFFFF" w:themeColor="background1"/>
              </w:rPr>
            </w:pPr>
            <w:r w:rsidRPr="00DE185C">
              <w:rPr>
                <w:rFonts w:ascii="Calibri" w:hAnsi="Calibri"/>
                <w:b/>
                <w:bCs/>
                <w:color w:val="FFFFFF" w:themeColor="background1"/>
              </w:rPr>
              <w:t>2020 Targets</w:t>
            </w:r>
          </w:p>
        </w:tc>
        <w:tc>
          <w:tcPr>
            <w:tcW w:w="1706" w:type="dxa"/>
            <w:shd w:val="clear" w:color="auto" w:fill="314B5A"/>
            <w:tcMar>
              <w:top w:w="15" w:type="dxa"/>
              <w:left w:w="15" w:type="dxa"/>
              <w:bottom w:w="0" w:type="dxa"/>
              <w:right w:w="15" w:type="dxa"/>
            </w:tcMar>
            <w:vAlign w:val="center"/>
            <w:hideMark/>
          </w:tcPr>
          <w:p w:rsidR="00524127" w:rsidRPr="00DE185C" w:rsidRDefault="00524127" w:rsidP="002E1FA2">
            <w:pPr>
              <w:spacing w:after="0" w:line="240" w:lineRule="auto"/>
              <w:jc w:val="center"/>
              <w:rPr>
                <w:rFonts w:ascii="Calibri" w:hAnsi="Calibri"/>
                <w:color w:val="FFFFFF" w:themeColor="background1"/>
              </w:rPr>
            </w:pPr>
            <w:r w:rsidRPr="00DE185C">
              <w:rPr>
                <w:rFonts w:ascii="Calibri" w:hAnsi="Calibri"/>
                <w:b/>
                <w:bCs/>
                <w:color w:val="FFFFFF" w:themeColor="background1"/>
              </w:rPr>
              <w:t>Reductions to Reach Targets</w:t>
            </w:r>
          </w:p>
        </w:tc>
      </w:tr>
      <w:tr w:rsidR="00524127" w:rsidRPr="00DE185C" w:rsidTr="00857F51">
        <w:trPr>
          <w:trHeight w:val="397"/>
        </w:trPr>
        <w:tc>
          <w:tcPr>
            <w:tcW w:w="2144" w:type="dxa"/>
            <w:shd w:val="clear" w:color="auto" w:fill="B6DDE8" w:themeFill="accent5" w:themeFillTint="66"/>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b/>
                <w:bCs/>
              </w:rPr>
              <w:t>Number of Vehicles</w:t>
            </w:r>
          </w:p>
        </w:tc>
        <w:tc>
          <w:tcPr>
            <w:tcW w:w="1840" w:type="dxa"/>
            <w:shd w:val="clear" w:color="auto" w:fill="B6DDE8" w:themeFill="accent5" w:themeFillTint="66"/>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rPr>
              <w:t>2,684,261</w:t>
            </w:r>
          </w:p>
        </w:tc>
        <w:tc>
          <w:tcPr>
            <w:tcW w:w="1706" w:type="dxa"/>
            <w:shd w:val="clear" w:color="auto" w:fill="B6DDE8" w:themeFill="accent5" w:themeFillTint="66"/>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rPr>
              <w:t>3,235,795</w:t>
            </w:r>
          </w:p>
        </w:tc>
        <w:tc>
          <w:tcPr>
            <w:tcW w:w="1621" w:type="dxa"/>
            <w:shd w:val="clear" w:color="auto" w:fill="B6DDE8" w:themeFill="accent5" w:themeFillTint="66"/>
            <w:tcMar>
              <w:top w:w="15" w:type="dxa"/>
              <w:left w:w="15" w:type="dxa"/>
              <w:bottom w:w="0" w:type="dxa"/>
              <w:right w:w="15" w:type="dxa"/>
            </w:tcMar>
            <w:vAlign w:val="center"/>
            <w:hideMark/>
          </w:tcPr>
          <w:p w:rsidR="00524127" w:rsidRPr="00DE185C" w:rsidRDefault="00F428A6" w:rsidP="002E1FA2">
            <w:pPr>
              <w:spacing w:after="0"/>
              <w:jc w:val="center"/>
              <w:rPr>
                <w:rFonts w:ascii="Calibri" w:hAnsi="Calibri"/>
              </w:rPr>
            </w:pPr>
            <w:r>
              <w:rPr>
                <w:rFonts w:ascii="Calibri" w:hAnsi="Calibri"/>
              </w:rPr>
              <w:t>n/a</w:t>
            </w:r>
          </w:p>
        </w:tc>
        <w:tc>
          <w:tcPr>
            <w:tcW w:w="1706" w:type="dxa"/>
            <w:shd w:val="clear" w:color="auto" w:fill="B6DDE8" w:themeFill="accent5" w:themeFillTint="66"/>
            <w:tcMar>
              <w:top w:w="15" w:type="dxa"/>
              <w:left w:w="15" w:type="dxa"/>
              <w:bottom w:w="0" w:type="dxa"/>
              <w:right w:w="15" w:type="dxa"/>
            </w:tcMar>
            <w:vAlign w:val="center"/>
            <w:hideMark/>
          </w:tcPr>
          <w:p w:rsidR="00524127" w:rsidRPr="00DE185C" w:rsidRDefault="00F428A6" w:rsidP="002E1FA2">
            <w:pPr>
              <w:spacing w:after="0"/>
              <w:jc w:val="center"/>
              <w:rPr>
                <w:rFonts w:ascii="Calibri" w:hAnsi="Calibri"/>
              </w:rPr>
            </w:pPr>
            <w:r>
              <w:rPr>
                <w:rFonts w:ascii="Calibri" w:hAnsi="Calibri"/>
              </w:rPr>
              <w:t>n/a</w:t>
            </w:r>
          </w:p>
        </w:tc>
      </w:tr>
      <w:tr w:rsidR="00524127" w:rsidRPr="00DE185C" w:rsidTr="00857F51">
        <w:trPr>
          <w:trHeight w:val="587"/>
        </w:trPr>
        <w:tc>
          <w:tcPr>
            <w:tcW w:w="2144" w:type="dxa"/>
            <w:shd w:val="clear" w:color="auto" w:fill="DAEEF3" w:themeFill="accent5" w:themeFillTint="33"/>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b/>
                <w:bCs/>
              </w:rPr>
              <w:t>Gasoline and Diesel Consumption (gal)</w:t>
            </w:r>
          </w:p>
        </w:tc>
        <w:tc>
          <w:tcPr>
            <w:tcW w:w="1840" w:type="dxa"/>
            <w:shd w:val="clear" w:color="auto" w:fill="DAEEF3" w:themeFill="accent5" w:themeFillTint="33"/>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rPr>
              <w:t>1,398,552,571</w:t>
            </w:r>
          </w:p>
        </w:tc>
        <w:tc>
          <w:tcPr>
            <w:tcW w:w="1706" w:type="dxa"/>
            <w:shd w:val="clear" w:color="auto" w:fill="DAEEF3" w:themeFill="accent5" w:themeFillTint="33"/>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rPr>
              <w:t>1,377,129,080</w:t>
            </w:r>
          </w:p>
        </w:tc>
        <w:tc>
          <w:tcPr>
            <w:tcW w:w="1621" w:type="dxa"/>
            <w:shd w:val="clear" w:color="auto" w:fill="DAEEF3" w:themeFill="accent5" w:themeFillTint="33"/>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rPr>
              <w:t>1,236,408,810</w:t>
            </w:r>
          </w:p>
        </w:tc>
        <w:tc>
          <w:tcPr>
            <w:tcW w:w="1706" w:type="dxa"/>
            <w:shd w:val="clear" w:color="auto" w:fill="DAEEF3" w:themeFill="accent5" w:themeFillTint="33"/>
            <w:tcMar>
              <w:top w:w="15" w:type="dxa"/>
              <w:left w:w="15" w:type="dxa"/>
              <w:bottom w:w="0" w:type="dxa"/>
              <w:right w:w="15" w:type="dxa"/>
            </w:tcMar>
            <w:vAlign w:val="center"/>
            <w:hideMark/>
          </w:tcPr>
          <w:p w:rsidR="00524127" w:rsidRPr="00DE185C" w:rsidRDefault="00524127" w:rsidP="002E1FA2">
            <w:pPr>
              <w:spacing w:after="0"/>
              <w:jc w:val="center"/>
              <w:rPr>
                <w:rFonts w:ascii="Calibri" w:hAnsi="Calibri"/>
              </w:rPr>
            </w:pPr>
            <w:r w:rsidRPr="00DE185C">
              <w:rPr>
                <w:rFonts w:ascii="Calibri" w:hAnsi="Calibri"/>
              </w:rPr>
              <w:t>140,720,270</w:t>
            </w:r>
          </w:p>
        </w:tc>
      </w:tr>
    </w:tbl>
    <w:p w:rsidR="00524127" w:rsidRPr="00DE185C" w:rsidRDefault="00524127" w:rsidP="00524127">
      <w:pPr>
        <w:rPr>
          <w:rFonts w:ascii="Calibri" w:hAnsi="Calibri"/>
        </w:rPr>
      </w:pPr>
    </w:p>
    <w:p w:rsidR="00524127" w:rsidRPr="00DE185C" w:rsidRDefault="00524127" w:rsidP="00524127">
      <w:pPr>
        <w:rPr>
          <w:rFonts w:ascii="Calibri" w:hAnsi="Calibri"/>
        </w:rPr>
      </w:pPr>
      <w:r w:rsidRPr="00DE185C">
        <w:rPr>
          <w:rFonts w:ascii="Calibri" w:hAnsi="Calibri"/>
        </w:rPr>
        <w:t xml:space="preserve">There </w:t>
      </w:r>
      <w:r w:rsidR="00ED1149">
        <w:rPr>
          <w:rFonts w:ascii="Calibri" w:hAnsi="Calibri"/>
        </w:rPr>
        <w:t xml:space="preserve">would </w:t>
      </w:r>
      <w:r w:rsidRPr="00DE185C">
        <w:rPr>
          <w:rFonts w:ascii="Calibri" w:hAnsi="Calibri"/>
        </w:rPr>
        <w:t xml:space="preserve">need to be a 141 million gallon reduction in gasoline and diesel consumption </w:t>
      </w:r>
      <w:r w:rsidR="00ED1149">
        <w:rPr>
          <w:rFonts w:ascii="Calibri" w:hAnsi="Calibri"/>
        </w:rPr>
        <w:t xml:space="preserve">in the region </w:t>
      </w:r>
      <w:r w:rsidR="002F11E2" w:rsidRPr="00DE185C">
        <w:rPr>
          <w:rFonts w:ascii="Calibri" w:hAnsi="Calibri"/>
        </w:rPr>
        <w:t>by</w:t>
      </w:r>
      <w:r w:rsidRPr="00DE185C">
        <w:rPr>
          <w:rFonts w:ascii="Calibri" w:hAnsi="Calibri"/>
        </w:rPr>
        <w:t xml:space="preserve"> 2020 in order to reach 15</w:t>
      </w:r>
      <w:r w:rsidR="005D6853">
        <w:rPr>
          <w:rFonts w:ascii="Calibri" w:hAnsi="Calibri"/>
        </w:rPr>
        <w:t xml:space="preserve"> percent</w:t>
      </w:r>
      <w:r w:rsidRPr="00DE185C">
        <w:rPr>
          <w:rFonts w:ascii="Calibri" w:hAnsi="Calibri"/>
        </w:rPr>
        <w:t xml:space="preserve"> below 2003 levels. </w:t>
      </w:r>
      <w:r w:rsidR="008822FE">
        <w:rPr>
          <w:rFonts w:ascii="Calibri" w:hAnsi="Calibri"/>
        </w:rPr>
        <w:t>F</w:t>
      </w:r>
      <w:r w:rsidRPr="00DE185C">
        <w:rPr>
          <w:rFonts w:ascii="Calibri" w:hAnsi="Calibri"/>
        </w:rPr>
        <w:t xml:space="preserve">rom 2011 to 2013, </w:t>
      </w:r>
      <w:r w:rsidR="00EE0C47" w:rsidRPr="00DE185C">
        <w:rPr>
          <w:rFonts w:ascii="Calibri" w:hAnsi="Calibri"/>
        </w:rPr>
        <w:t>SDRCCC</w:t>
      </w:r>
      <w:r w:rsidRPr="00DE185C">
        <w:rPr>
          <w:rFonts w:ascii="Calibri" w:hAnsi="Calibri"/>
        </w:rPr>
        <w:t xml:space="preserve"> stakeholders have reduced over 13 million gallons of petroleum (see more in </w:t>
      </w:r>
      <w:r w:rsidRPr="00DE185C">
        <w:rPr>
          <w:rFonts w:ascii="Calibri" w:hAnsi="Calibri"/>
          <w:i/>
        </w:rPr>
        <w:t>Vehicles</w:t>
      </w:r>
      <w:r w:rsidRPr="00DE185C">
        <w:rPr>
          <w:rFonts w:ascii="Calibri" w:hAnsi="Calibri"/>
        </w:rPr>
        <w:t xml:space="preserve">). However, the region </w:t>
      </w:r>
      <w:r w:rsidR="00A73890">
        <w:rPr>
          <w:rFonts w:ascii="Calibri" w:hAnsi="Calibri"/>
        </w:rPr>
        <w:t xml:space="preserve">can </w:t>
      </w:r>
      <w:r w:rsidR="00BB58C8" w:rsidRPr="00DE185C">
        <w:rPr>
          <w:rFonts w:ascii="Calibri" w:hAnsi="Calibri"/>
        </w:rPr>
        <w:t xml:space="preserve">help the state </w:t>
      </w:r>
      <w:r w:rsidRPr="00DE185C">
        <w:rPr>
          <w:rFonts w:ascii="Calibri" w:hAnsi="Calibri"/>
        </w:rPr>
        <w:t>reach this ambitious petroleum reduction goal</w:t>
      </w:r>
      <w:r w:rsidR="00A73890">
        <w:rPr>
          <w:rFonts w:ascii="Calibri" w:hAnsi="Calibri"/>
        </w:rPr>
        <w:t xml:space="preserve"> by accelerating the deployment of alternative fueling stations</w:t>
      </w:r>
      <w:r w:rsidRPr="00DE185C">
        <w:rPr>
          <w:rFonts w:ascii="Calibri" w:hAnsi="Calibri"/>
        </w:rPr>
        <w:t xml:space="preserve">. </w:t>
      </w:r>
    </w:p>
    <w:p w:rsidR="004A7DE1" w:rsidRPr="00DE185C" w:rsidRDefault="00A94F6A" w:rsidP="00EE0C47">
      <w:pPr>
        <w:rPr>
          <w:rFonts w:ascii="Calibri" w:hAnsi="Calibri"/>
        </w:rPr>
      </w:pPr>
      <w:r w:rsidRPr="00DE185C">
        <w:rPr>
          <w:rFonts w:ascii="Calibri" w:hAnsi="Calibri"/>
        </w:rPr>
        <w:t>In the SANDAG 2009 Report, there is a detailed chapter regarding the full fuel cycle of alternative fuels compared</w:t>
      </w:r>
      <w:r w:rsidR="000146E0" w:rsidRPr="00DE185C">
        <w:rPr>
          <w:rFonts w:ascii="Calibri" w:hAnsi="Calibri"/>
        </w:rPr>
        <w:t xml:space="preserve"> to standard gasoline vehicles, noting how much an alternative fuel reduces GHG</w:t>
      </w:r>
      <w:r w:rsidR="00E962E8" w:rsidRPr="00DE185C">
        <w:rPr>
          <w:rFonts w:ascii="Calibri" w:hAnsi="Calibri"/>
        </w:rPr>
        <w:t xml:space="preserve"> emissions and</w:t>
      </w:r>
      <w:r w:rsidR="000146E0" w:rsidRPr="00DE185C">
        <w:rPr>
          <w:rFonts w:ascii="Calibri" w:hAnsi="Calibri"/>
        </w:rPr>
        <w:t xml:space="preserve"> petroleum</w:t>
      </w:r>
      <w:r w:rsidR="00E962E8" w:rsidRPr="00DE185C">
        <w:rPr>
          <w:rFonts w:ascii="Calibri" w:hAnsi="Calibri"/>
        </w:rPr>
        <w:t xml:space="preserve"> consumption</w:t>
      </w:r>
      <w:r w:rsidR="000146E0" w:rsidRPr="00DE185C">
        <w:rPr>
          <w:rFonts w:ascii="Calibri" w:hAnsi="Calibri"/>
        </w:rPr>
        <w:t xml:space="preserve">. </w:t>
      </w:r>
      <w:r w:rsidR="00E060CE">
        <w:rPr>
          <w:rFonts w:ascii="Calibri" w:hAnsi="Calibri"/>
        </w:rPr>
        <w:t>T</w:t>
      </w:r>
      <w:r w:rsidR="000146E0" w:rsidRPr="00DE185C">
        <w:rPr>
          <w:rFonts w:ascii="Calibri" w:hAnsi="Calibri"/>
        </w:rPr>
        <w:t xml:space="preserve">he </w:t>
      </w:r>
      <w:r w:rsidR="00E060CE">
        <w:rPr>
          <w:rFonts w:ascii="Calibri" w:hAnsi="Calibri"/>
        </w:rPr>
        <w:t xml:space="preserve">Energy Commission relies on </w:t>
      </w:r>
      <w:r w:rsidR="000146E0" w:rsidRPr="00DE185C">
        <w:rPr>
          <w:rFonts w:ascii="Calibri" w:hAnsi="Calibri"/>
        </w:rPr>
        <w:t>full fuel cycle analys</w:t>
      </w:r>
      <w:r w:rsidR="00E060CE">
        <w:rPr>
          <w:rFonts w:ascii="Calibri" w:hAnsi="Calibri"/>
        </w:rPr>
        <w:t xml:space="preserve">es </w:t>
      </w:r>
      <w:r w:rsidR="00BE3210">
        <w:rPr>
          <w:rFonts w:ascii="Calibri" w:hAnsi="Calibri"/>
        </w:rPr>
        <w:t>to qualify alternative fuels</w:t>
      </w:r>
      <w:r w:rsidR="00E060CE">
        <w:rPr>
          <w:rFonts w:ascii="Calibri" w:hAnsi="Calibri"/>
        </w:rPr>
        <w:t xml:space="preserve"> </w:t>
      </w:r>
      <w:r w:rsidR="00BE3210">
        <w:rPr>
          <w:rFonts w:ascii="Calibri" w:hAnsi="Calibri"/>
        </w:rPr>
        <w:t xml:space="preserve">for its </w:t>
      </w:r>
      <w:r w:rsidR="005566D4" w:rsidRPr="005566D4">
        <w:rPr>
          <w:rFonts w:ascii="Calibri" w:hAnsi="Calibri"/>
        </w:rPr>
        <w:t>Alternative and Renewable Fuel and Vehicle Technology Program</w:t>
      </w:r>
      <w:r w:rsidR="008F7A0F">
        <w:rPr>
          <w:rFonts w:ascii="Calibri" w:hAnsi="Calibri"/>
        </w:rPr>
        <w:t xml:space="preserve"> (see more in </w:t>
      </w:r>
      <w:r w:rsidR="008F7A0F">
        <w:rPr>
          <w:rFonts w:ascii="Calibri" w:hAnsi="Calibri"/>
          <w:i/>
        </w:rPr>
        <w:t>Alternative Fuel Investments</w:t>
      </w:r>
      <w:r w:rsidR="008F7A0F">
        <w:rPr>
          <w:rFonts w:ascii="Calibri" w:hAnsi="Calibri"/>
        </w:rPr>
        <w:t>)</w:t>
      </w:r>
      <w:r w:rsidR="00BE3210">
        <w:rPr>
          <w:rFonts w:ascii="Calibri" w:hAnsi="Calibri"/>
        </w:rPr>
        <w:t xml:space="preserve"> and </w:t>
      </w:r>
      <w:r w:rsidR="000146E0" w:rsidRPr="00DE185C">
        <w:rPr>
          <w:rFonts w:ascii="Calibri" w:hAnsi="Calibri"/>
        </w:rPr>
        <w:t xml:space="preserve">is </w:t>
      </w:r>
      <w:r w:rsidR="00BE3210">
        <w:rPr>
          <w:rFonts w:ascii="Calibri" w:hAnsi="Calibri"/>
        </w:rPr>
        <w:t xml:space="preserve">a tool </w:t>
      </w:r>
      <w:r w:rsidR="000146E0" w:rsidRPr="00DE185C">
        <w:rPr>
          <w:rFonts w:ascii="Calibri" w:hAnsi="Calibri"/>
        </w:rPr>
        <w:t>fleet</w:t>
      </w:r>
      <w:r w:rsidR="00E060CE">
        <w:rPr>
          <w:rFonts w:ascii="Calibri" w:hAnsi="Calibri"/>
        </w:rPr>
        <w:t xml:space="preserve"> managers</w:t>
      </w:r>
      <w:r w:rsidR="000146E0" w:rsidRPr="00DE185C">
        <w:rPr>
          <w:rFonts w:ascii="Calibri" w:hAnsi="Calibri"/>
        </w:rPr>
        <w:t xml:space="preserve"> </w:t>
      </w:r>
      <w:r w:rsidR="00BE3210">
        <w:rPr>
          <w:rFonts w:ascii="Calibri" w:hAnsi="Calibri"/>
        </w:rPr>
        <w:t>can use  in vehicle replacement</w:t>
      </w:r>
      <w:r w:rsidR="000146E0" w:rsidRPr="00DE185C">
        <w:rPr>
          <w:rFonts w:ascii="Calibri" w:hAnsi="Calibri"/>
        </w:rPr>
        <w:t xml:space="preserve"> decisions</w:t>
      </w:r>
      <w:r w:rsidR="00BE3210">
        <w:rPr>
          <w:rFonts w:ascii="Calibri" w:hAnsi="Calibri"/>
        </w:rPr>
        <w:t>.</w:t>
      </w:r>
      <w:r w:rsidR="000146E0" w:rsidRPr="00DE185C">
        <w:rPr>
          <w:rFonts w:ascii="Calibri" w:hAnsi="Calibri"/>
        </w:rPr>
        <w:t xml:space="preserve"> </w:t>
      </w:r>
    </w:p>
    <w:p w:rsidR="00D95E1A" w:rsidRPr="00DE185C" w:rsidRDefault="0073269A" w:rsidP="00D95E1A">
      <w:pPr>
        <w:pStyle w:val="Heading1"/>
        <w:rPr>
          <w:rFonts w:ascii="Calibri" w:hAnsi="Calibri"/>
        </w:rPr>
      </w:pPr>
      <w:bookmarkStart w:id="27" w:name="_Toc416259240"/>
      <w:bookmarkStart w:id="28" w:name="_Toc410636698"/>
      <w:r w:rsidRPr="00DE185C">
        <w:rPr>
          <w:rFonts w:ascii="Calibri" w:hAnsi="Calibri"/>
        </w:rPr>
        <w:t>5.</w:t>
      </w:r>
      <w:r w:rsidR="00D95E1A" w:rsidRPr="00DE185C">
        <w:rPr>
          <w:rFonts w:ascii="Calibri" w:hAnsi="Calibri"/>
        </w:rPr>
        <w:t xml:space="preserve"> Codes and Standards</w:t>
      </w:r>
      <w:bookmarkEnd w:id="27"/>
    </w:p>
    <w:p w:rsidR="00D95E1A" w:rsidRPr="00DE185C" w:rsidRDefault="00865CD3" w:rsidP="00D95E1A">
      <w:pPr>
        <w:rPr>
          <w:rFonts w:ascii="Calibri" w:hAnsi="Calibri"/>
        </w:rPr>
      </w:pPr>
      <w:r>
        <w:rPr>
          <w:rFonts w:ascii="Calibri" w:hAnsi="Calibri"/>
        </w:rPr>
        <w:t xml:space="preserve">Alternative fuel stations, like any other built structure, must adhere to </w:t>
      </w:r>
      <w:r w:rsidR="00875EB7">
        <w:rPr>
          <w:rFonts w:ascii="Calibri" w:hAnsi="Calibri"/>
        </w:rPr>
        <w:t xml:space="preserve">local, state, and federal building and permitting </w:t>
      </w:r>
      <w:r>
        <w:rPr>
          <w:rFonts w:ascii="Calibri" w:hAnsi="Calibri"/>
        </w:rPr>
        <w:t>c</w:t>
      </w:r>
      <w:r w:rsidR="00D95E1A" w:rsidRPr="00DE185C">
        <w:rPr>
          <w:rFonts w:ascii="Calibri" w:hAnsi="Calibri"/>
        </w:rPr>
        <w:t xml:space="preserve">odes and standards. Codes dictate requirements on how to safely store, dispense, and build public and private fueling stations, while standards dictate how to meet the code’s requirements. The creation of these codes and standards come from a variety of </w:t>
      </w:r>
      <w:r w:rsidR="00875EB7">
        <w:rPr>
          <w:rFonts w:ascii="Calibri" w:hAnsi="Calibri"/>
        </w:rPr>
        <w:t xml:space="preserve">accepted </w:t>
      </w:r>
      <w:r w:rsidR="00D95E1A" w:rsidRPr="00DE185C">
        <w:rPr>
          <w:rFonts w:ascii="Calibri" w:hAnsi="Calibri"/>
        </w:rPr>
        <w:t xml:space="preserve">standards-development organizations. Local governments are usually the enforcers of such codes </w:t>
      </w:r>
      <w:r>
        <w:rPr>
          <w:rFonts w:ascii="Calibri" w:hAnsi="Calibri"/>
        </w:rPr>
        <w:t xml:space="preserve">and </w:t>
      </w:r>
      <w:r w:rsidR="00D95E1A" w:rsidRPr="00DE185C">
        <w:rPr>
          <w:rFonts w:ascii="Calibri" w:hAnsi="Calibri"/>
        </w:rPr>
        <w:t xml:space="preserve">may have </w:t>
      </w:r>
      <w:r>
        <w:rPr>
          <w:rFonts w:ascii="Calibri" w:hAnsi="Calibri"/>
        </w:rPr>
        <w:t xml:space="preserve">additional requirements, </w:t>
      </w:r>
      <w:r w:rsidR="00D95E1A" w:rsidRPr="00DE185C">
        <w:rPr>
          <w:rFonts w:ascii="Calibri" w:hAnsi="Calibri"/>
        </w:rPr>
        <w:t xml:space="preserve">ordinances or regulations that </w:t>
      </w:r>
      <w:r>
        <w:rPr>
          <w:rFonts w:ascii="Calibri" w:hAnsi="Calibri"/>
        </w:rPr>
        <w:t xml:space="preserve">call for stricter </w:t>
      </w:r>
      <w:r w:rsidR="00875EB7">
        <w:rPr>
          <w:rFonts w:ascii="Calibri" w:hAnsi="Calibri"/>
        </w:rPr>
        <w:t xml:space="preserve">installation procedures </w:t>
      </w:r>
      <w:r>
        <w:rPr>
          <w:rFonts w:ascii="Calibri" w:hAnsi="Calibri"/>
        </w:rPr>
        <w:t xml:space="preserve">than </w:t>
      </w:r>
      <w:r w:rsidR="00D95E1A" w:rsidRPr="00DE185C">
        <w:rPr>
          <w:rFonts w:ascii="Calibri" w:hAnsi="Calibri"/>
        </w:rPr>
        <w:t xml:space="preserve">the industry’s codes and standards. </w:t>
      </w:r>
    </w:p>
    <w:p w:rsidR="00AA2D31" w:rsidRDefault="00DB0BDB" w:rsidP="00D95E1A">
      <w:pPr>
        <w:pStyle w:val="Heading2"/>
        <w:rPr>
          <w:rFonts w:ascii="Calibri" w:hAnsi="Calibri"/>
        </w:rPr>
      </w:pPr>
      <w:bookmarkStart w:id="29" w:name="_Toc416259241"/>
      <w:r>
        <w:rPr>
          <w:rFonts w:ascii="Calibri" w:hAnsi="Calibri"/>
        </w:rPr>
        <w:t>Alternative Fuel Station Installation Codes and Standards</w:t>
      </w:r>
      <w:bookmarkEnd w:id="29"/>
      <w:r w:rsidR="00AA2D31">
        <w:rPr>
          <w:rFonts w:ascii="Calibri" w:hAnsi="Calibri"/>
        </w:rPr>
        <w:t xml:space="preserve"> </w:t>
      </w:r>
    </w:p>
    <w:p w:rsidR="00AA2D31" w:rsidRPr="006909BC" w:rsidRDefault="00AA2D31" w:rsidP="006909BC">
      <w:r w:rsidRPr="00DE185C">
        <w:rPr>
          <w:rFonts w:ascii="Calibri" w:hAnsi="Calibri"/>
        </w:rPr>
        <w:t xml:space="preserve">There are a variety of codes and standards regarding every aspect of a fueling station, from its storage containers to installation procedures. The </w:t>
      </w:r>
      <w:r>
        <w:rPr>
          <w:rFonts w:ascii="Calibri" w:hAnsi="Calibri"/>
        </w:rPr>
        <w:t xml:space="preserve">following </w:t>
      </w:r>
      <w:r w:rsidRPr="00DE185C">
        <w:rPr>
          <w:rFonts w:ascii="Calibri" w:hAnsi="Calibri"/>
        </w:rPr>
        <w:t xml:space="preserve">tables highlight </w:t>
      </w:r>
      <w:r>
        <w:rPr>
          <w:rFonts w:ascii="Calibri" w:hAnsi="Calibri"/>
        </w:rPr>
        <w:t xml:space="preserve">some </w:t>
      </w:r>
      <w:r w:rsidRPr="00DE185C">
        <w:rPr>
          <w:rFonts w:ascii="Calibri" w:hAnsi="Calibri"/>
        </w:rPr>
        <w:t>of the pertinent codes and standards that dictate how to ensure equipment is safe to operate</w:t>
      </w:r>
      <w:r>
        <w:rPr>
          <w:rFonts w:ascii="Calibri" w:hAnsi="Calibri"/>
        </w:rPr>
        <w:t xml:space="preserve"> in California</w:t>
      </w:r>
      <w:r w:rsidRPr="00DE185C">
        <w:rPr>
          <w:rFonts w:ascii="Calibri" w:hAnsi="Calibri"/>
        </w:rPr>
        <w:t>.</w:t>
      </w:r>
    </w:p>
    <w:p w:rsidR="00D95E1A" w:rsidRPr="006909BC" w:rsidRDefault="00D95E1A" w:rsidP="006909BC">
      <w:pPr>
        <w:pStyle w:val="Heading3"/>
        <w:rPr>
          <w:rFonts w:ascii="Calibri" w:hAnsi="Calibri"/>
        </w:rPr>
      </w:pPr>
      <w:bookmarkStart w:id="30" w:name="_Toc416259242"/>
      <w:r w:rsidRPr="006909BC">
        <w:rPr>
          <w:rFonts w:ascii="Calibri" w:hAnsi="Calibri"/>
        </w:rPr>
        <w:t>Biodiesel and Ethanol</w:t>
      </w:r>
      <w:bookmarkEnd w:id="30"/>
      <w:r w:rsidRPr="006909BC">
        <w:rPr>
          <w:rFonts w:ascii="Calibri" w:hAnsi="Calibri"/>
        </w:rPr>
        <w:t xml:space="preserve"> </w:t>
      </w:r>
    </w:p>
    <w:p w:rsidR="00D95E1A" w:rsidRPr="00DE185C" w:rsidRDefault="00D95E1A" w:rsidP="00D95E1A">
      <w:pPr>
        <w:rPr>
          <w:rFonts w:ascii="Calibri" w:hAnsi="Calibri"/>
        </w:rPr>
      </w:pPr>
      <w:r w:rsidRPr="00DE185C">
        <w:rPr>
          <w:rFonts w:ascii="Calibri" w:hAnsi="Calibri"/>
        </w:rPr>
        <w:t xml:space="preserve">The general standards for the dispensing and storage of biodiesel and ethanol fall under the National Fire Protection Association (NFPA) 30 Flammable and Combustible Liquids Code. It covers fire and explosion prevention, storage of liquid in containers, storage systems, and processing facilities. More specific codes and standards for other aspects of biofuel stations are found in the </w:t>
      </w:r>
      <w:r w:rsidR="004F64BF">
        <w:rPr>
          <w:rFonts w:ascii="Calibri" w:hAnsi="Calibri"/>
        </w:rPr>
        <w:t xml:space="preserve">following </w:t>
      </w:r>
      <w:r w:rsidRPr="00DE185C">
        <w:rPr>
          <w:rFonts w:ascii="Calibri" w:hAnsi="Calibri"/>
        </w:rPr>
        <w:t>table.</w:t>
      </w:r>
      <w:r w:rsidR="009426DA">
        <w:rPr>
          <w:rFonts w:ascii="Calibri" w:hAnsi="Calibri"/>
        </w:rPr>
        <w:t xml:space="preserve"> </w:t>
      </w:r>
      <w:r w:rsidRPr="00DE185C">
        <w:rPr>
          <w:rFonts w:ascii="Calibri" w:hAnsi="Calibri"/>
        </w:rPr>
        <w:t xml:space="preserve">Many of these codes and standards </w:t>
      </w:r>
      <w:r w:rsidR="007002AB">
        <w:rPr>
          <w:rFonts w:ascii="Calibri" w:hAnsi="Calibri"/>
        </w:rPr>
        <w:t xml:space="preserve">also </w:t>
      </w:r>
      <w:r w:rsidRPr="00DE185C">
        <w:rPr>
          <w:rFonts w:ascii="Calibri" w:hAnsi="Calibri"/>
        </w:rPr>
        <w:t xml:space="preserve">apply to conventional gasoline fueling stations. </w:t>
      </w:r>
    </w:p>
    <w:tbl>
      <w:tblPr>
        <w:tblStyle w:val="TableGrid"/>
        <w:tblW w:w="95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18"/>
        <w:gridCol w:w="5958"/>
      </w:tblGrid>
      <w:tr w:rsidR="00D95E1A" w:rsidRPr="00DE185C" w:rsidTr="00A605C0">
        <w:tc>
          <w:tcPr>
            <w:tcW w:w="361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Fueling Station Aspect</w:t>
            </w:r>
          </w:p>
        </w:tc>
        <w:tc>
          <w:tcPr>
            <w:tcW w:w="595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Pertinent Codes and Standards</w:t>
            </w:r>
          </w:p>
        </w:tc>
      </w:tr>
      <w:tr w:rsidR="00D95E1A" w:rsidRPr="00DE185C" w:rsidTr="00A605C0">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Containers</w:t>
            </w:r>
          </w:p>
        </w:tc>
        <w:tc>
          <w:tcPr>
            <w:tcW w:w="595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NFPA 30</w:t>
            </w:r>
          </w:p>
          <w:p w:rsidR="00D95E1A" w:rsidRPr="00DE185C" w:rsidRDefault="00D95E1A" w:rsidP="00A605C0">
            <w:pPr>
              <w:rPr>
                <w:rFonts w:ascii="Calibri" w:hAnsi="Calibri"/>
              </w:rPr>
            </w:pPr>
            <w:r w:rsidRPr="00DE185C">
              <w:rPr>
                <w:rFonts w:ascii="Calibri" w:hAnsi="Calibri"/>
              </w:rPr>
              <w:t>American Society for Testing and Materials (ASTM) Standards for Containers</w:t>
            </w:r>
          </w:p>
          <w:p w:rsidR="00D95E1A" w:rsidRPr="00DE185C" w:rsidRDefault="00D95E1A" w:rsidP="00A605C0">
            <w:pPr>
              <w:rPr>
                <w:rFonts w:ascii="Calibri" w:hAnsi="Calibri"/>
              </w:rPr>
            </w:pPr>
            <w:r w:rsidRPr="00DE185C">
              <w:rPr>
                <w:rFonts w:ascii="Calibri" w:hAnsi="Calibri"/>
              </w:rPr>
              <w:t>American National Standards Institute (ANSI)/ Underwriters Laboratory (UL) Standards for Containers</w:t>
            </w:r>
          </w:p>
          <w:p w:rsidR="00D95E1A" w:rsidRPr="00DE185C" w:rsidRDefault="00D95E1A" w:rsidP="00A605C0">
            <w:pPr>
              <w:rPr>
                <w:rFonts w:ascii="Calibri" w:hAnsi="Calibri"/>
              </w:rPr>
            </w:pPr>
            <w:r w:rsidRPr="00DE185C">
              <w:rPr>
                <w:rFonts w:ascii="Calibri" w:hAnsi="Calibri"/>
              </w:rPr>
              <w:t>US Department of Transportation (DOT) 10CFR49</w:t>
            </w:r>
          </w:p>
        </w:tc>
      </w:tr>
      <w:tr w:rsidR="00D95E1A" w:rsidRPr="00DE185C" w:rsidTr="00A605C0">
        <w:tc>
          <w:tcPr>
            <w:tcW w:w="361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Dispensing Operations</w:t>
            </w:r>
          </w:p>
        </w:tc>
        <w:tc>
          <w:tcPr>
            <w:tcW w:w="595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 xml:space="preserve">NFPA 30 </w:t>
            </w:r>
          </w:p>
          <w:p w:rsidR="00D95E1A" w:rsidRPr="00DE185C" w:rsidRDefault="00D95E1A" w:rsidP="00A605C0">
            <w:pPr>
              <w:rPr>
                <w:rFonts w:ascii="Calibri" w:hAnsi="Calibri"/>
              </w:rPr>
            </w:pPr>
            <w:r w:rsidRPr="00DE185C">
              <w:rPr>
                <w:rFonts w:ascii="Calibri" w:hAnsi="Calibri"/>
              </w:rPr>
              <w:t>NFPA 30A</w:t>
            </w:r>
          </w:p>
          <w:p w:rsidR="00D95E1A" w:rsidRPr="00DE185C" w:rsidRDefault="00D95E1A" w:rsidP="00A605C0">
            <w:pPr>
              <w:rPr>
                <w:rFonts w:ascii="Calibri" w:hAnsi="Calibri"/>
              </w:rPr>
            </w:pPr>
            <w:r w:rsidRPr="00DE185C">
              <w:rPr>
                <w:rFonts w:ascii="Calibri" w:hAnsi="Calibri"/>
              </w:rPr>
              <w:t>NFPA 385</w:t>
            </w:r>
          </w:p>
          <w:p w:rsidR="00D95E1A" w:rsidRPr="00DE185C" w:rsidRDefault="00D95E1A" w:rsidP="00A605C0">
            <w:pPr>
              <w:rPr>
                <w:rFonts w:ascii="Calibri" w:hAnsi="Calibri"/>
              </w:rPr>
            </w:pPr>
            <w:r w:rsidRPr="00DE185C">
              <w:rPr>
                <w:rFonts w:ascii="Calibri" w:hAnsi="Calibri"/>
              </w:rPr>
              <w:t>NFPA 10</w:t>
            </w:r>
          </w:p>
        </w:tc>
      </w:tr>
      <w:tr w:rsidR="00D95E1A" w:rsidRPr="00DE185C" w:rsidTr="00A605C0">
        <w:trPr>
          <w:trHeight w:val="593"/>
        </w:trPr>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Storage of Liquids</w:t>
            </w:r>
          </w:p>
          <w:p w:rsidR="00D95E1A" w:rsidRPr="00DE185C" w:rsidRDefault="00D95E1A" w:rsidP="00A605C0">
            <w:pPr>
              <w:rPr>
                <w:rFonts w:ascii="Calibri" w:hAnsi="Calibri"/>
              </w:rPr>
            </w:pPr>
          </w:p>
        </w:tc>
        <w:tc>
          <w:tcPr>
            <w:tcW w:w="595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UL 2245, 2080, 2085</w:t>
            </w:r>
          </w:p>
          <w:p w:rsidR="00D95E1A" w:rsidRPr="00DE185C" w:rsidRDefault="00D95E1A" w:rsidP="00A605C0">
            <w:pPr>
              <w:rPr>
                <w:rFonts w:ascii="Calibri" w:hAnsi="Calibri"/>
              </w:rPr>
            </w:pPr>
            <w:r w:rsidRPr="00DE185C">
              <w:rPr>
                <w:rFonts w:ascii="Calibri" w:hAnsi="Calibri"/>
              </w:rPr>
              <w:t>NFPA 91, 30A</w:t>
            </w:r>
          </w:p>
          <w:p w:rsidR="00D95E1A" w:rsidRPr="00DE185C" w:rsidRDefault="00D95E1A" w:rsidP="00A605C0">
            <w:pPr>
              <w:rPr>
                <w:rFonts w:ascii="Calibri" w:hAnsi="Calibri"/>
              </w:rPr>
            </w:pPr>
            <w:r w:rsidRPr="00DE185C">
              <w:rPr>
                <w:rFonts w:ascii="Calibri" w:hAnsi="Calibri"/>
              </w:rPr>
              <w:t>Steel Tank Institute (STI) Corrosion Control Standards</w:t>
            </w:r>
          </w:p>
        </w:tc>
      </w:tr>
    </w:tbl>
    <w:p w:rsidR="00D95E1A" w:rsidRPr="00DE185C" w:rsidRDefault="00D95E1A" w:rsidP="00D95E1A">
      <w:pPr>
        <w:rPr>
          <w:rFonts w:ascii="Calibri" w:hAnsi="Calibri"/>
        </w:rPr>
      </w:pPr>
    </w:p>
    <w:p w:rsidR="00D95E1A" w:rsidRPr="006909BC" w:rsidRDefault="00D95E1A" w:rsidP="004B0C70">
      <w:pPr>
        <w:pStyle w:val="Heading3"/>
        <w:rPr>
          <w:rFonts w:ascii="Calibri" w:hAnsi="Calibri"/>
        </w:rPr>
      </w:pPr>
      <w:bookmarkStart w:id="31" w:name="_Toc416259243"/>
      <w:r w:rsidRPr="006909BC">
        <w:rPr>
          <w:rFonts w:ascii="Calibri" w:hAnsi="Calibri"/>
        </w:rPr>
        <w:t>Electric Vehicle Charging Stations</w:t>
      </w:r>
      <w:bookmarkEnd w:id="31"/>
      <w:r w:rsidRPr="006909BC">
        <w:rPr>
          <w:rFonts w:ascii="Calibri" w:hAnsi="Calibri"/>
        </w:rPr>
        <w:t xml:space="preserve"> </w:t>
      </w:r>
    </w:p>
    <w:p w:rsidR="00D95E1A" w:rsidRPr="00DE185C" w:rsidRDefault="00D95E1A" w:rsidP="00D95E1A">
      <w:pPr>
        <w:rPr>
          <w:rFonts w:ascii="Calibri" w:hAnsi="Calibri"/>
        </w:rPr>
      </w:pPr>
      <w:r w:rsidRPr="00DE185C">
        <w:rPr>
          <w:rFonts w:ascii="Calibri" w:hAnsi="Calibri"/>
        </w:rPr>
        <w:t>Electric vehicle charging stations are governed by codes similar to other electrical devices</w:t>
      </w:r>
      <w:r w:rsidR="00547E9E">
        <w:rPr>
          <w:rFonts w:ascii="Calibri" w:hAnsi="Calibri"/>
        </w:rPr>
        <w:t>, n</w:t>
      </w:r>
      <w:r w:rsidRPr="00DE185C">
        <w:rPr>
          <w:rFonts w:ascii="Calibri" w:hAnsi="Calibri"/>
        </w:rPr>
        <w:t xml:space="preserve">otably, </w:t>
      </w:r>
      <w:r w:rsidR="00547E9E">
        <w:rPr>
          <w:rFonts w:ascii="Calibri" w:hAnsi="Calibri"/>
        </w:rPr>
        <w:t xml:space="preserve">the </w:t>
      </w:r>
      <w:r w:rsidRPr="00DE185C">
        <w:rPr>
          <w:rFonts w:ascii="Calibri" w:hAnsi="Calibri"/>
        </w:rPr>
        <w:t xml:space="preserve">National Electrical Code (NEC) 625. </w:t>
      </w:r>
    </w:p>
    <w:tbl>
      <w:tblPr>
        <w:tblStyle w:val="TableGrid"/>
        <w:tblW w:w="95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18"/>
        <w:gridCol w:w="5958"/>
      </w:tblGrid>
      <w:tr w:rsidR="00D95E1A" w:rsidRPr="00DE185C" w:rsidTr="00A605C0">
        <w:trPr>
          <w:trHeight w:val="275"/>
        </w:trPr>
        <w:tc>
          <w:tcPr>
            <w:tcW w:w="361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Fueling Station Aspect</w:t>
            </w:r>
          </w:p>
        </w:tc>
        <w:tc>
          <w:tcPr>
            <w:tcW w:w="595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Pertinent Codes and Standards</w:t>
            </w:r>
          </w:p>
        </w:tc>
      </w:tr>
      <w:tr w:rsidR="00D95E1A" w:rsidRPr="00DE185C" w:rsidTr="00A605C0">
        <w:trPr>
          <w:trHeight w:val="647"/>
        </w:trPr>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Vehicle and Charger Interface</w:t>
            </w:r>
          </w:p>
        </w:tc>
        <w:tc>
          <w:tcPr>
            <w:tcW w:w="595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Society of Automotive Engineers (SAE)</w:t>
            </w:r>
            <w:r w:rsidR="009426DA">
              <w:rPr>
                <w:rFonts w:ascii="Calibri" w:hAnsi="Calibri"/>
              </w:rPr>
              <w:t xml:space="preserve"> </w:t>
            </w:r>
            <w:r w:rsidRPr="00DE185C">
              <w:rPr>
                <w:rFonts w:ascii="Calibri" w:hAnsi="Calibri"/>
              </w:rPr>
              <w:t>J-1772, J-2841, J-2293, J-2847, J-2836</w:t>
            </w:r>
          </w:p>
        </w:tc>
      </w:tr>
      <w:tr w:rsidR="00D95E1A" w:rsidRPr="00DE185C" w:rsidTr="00A605C0">
        <w:trPr>
          <w:trHeight w:val="440"/>
        </w:trPr>
        <w:tc>
          <w:tcPr>
            <w:tcW w:w="361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Vehicle Charging Stations</w:t>
            </w:r>
          </w:p>
        </w:tc>
        <w:tc>
          <w:tcPr>
            <w:tcW w:w="595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NFPA 70</w:t>
            </w:r>
          </w:p>
          <w:p w:rsidR="00D95E1A" w:rsidRPr="00DE185C" w:rsidRDefault="00D95E1A" w:rsidP="00A605C0">
            <w:pPr>
              <w:rPr>
                <w:rFonts w:ascii="Calibri" w:hAnsi="Calibri"/>
              </w:rPr>
            </w:pPr>
            <w:r w:rsidRPr="00DE185C">
              <w:rPr>
                <w:rFonts w:ascii="Calibri" w:hAnsi="Calibri"/>
              </w:rPr>
              <w:t>NEC article 625</w:t>
            </w:r>
          </w:p>
        </w:tc>
      </w:tr>
      <w:tr w:rsidR="00D95E1A" w:rsidRPr="00DE185C" w:rsidTr="00A605C0">
        <w:trPr>
          <w:trHeight w:val="440"/>
        </w:trPr>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Charging Station Components</w:t>
            </w:r>
          </w:p>
        </w:tc>
        <w:tc>
          <w:tcPr>
            <w:tcW w:w="595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UL FFTG, UL FFWA</w:t>
            </w:r>
          </w:p>
        </w:tc>
      </w:tr>
    </w:tbl>
    <w:p w:rsidR="00D95E1A" w:rsidRPr="00DE185C" w:rsidRDefault="00D95E1A" w:rsidP="00D95E1A">
      <w:pPr>
        <w:rPr>
          <w:rFonts w:ascii="Calibri" w:hAnsi="Calibri"/>
        </w:rPr>
      </w:pPr>
    </w:p>
    <w:p w:rsidR="00D95E1A" w:rsidRPr="006909BC" w:rsidRDefault="00D95E1A" w:rsidP="004B0C70">
      <w:pPr>
        <w:pStyle w:val="Heading3"/>
        <w:rPr>
          <w:rFonts w:ascii="Calibri" w:hAnsi="Calibri"/>
        </w:rPr>
      </w:pPr>
      <w:bookmarkStart w:id="32" w:name="_Toc416259244"/>
      <w:r w:rsidRPr="006909BC">
        <w:rPr>
          <w:rFonts w:ascii="Calibri" w:hAnsi="Calibri"/>
        </w:rPr>
        <w:t>Hydrogen</w:t>
      </w:r>
      <w:bookmarkEnd w:id="32"/>
    </w:p>
    <w:p w:rsidR="00D95E1A" w:rsidRPr="00DE185C" w:rsidRDefault="00D95E1A" w:rsidP="00D95E1A">
      <w:pPr>
        <w:rPr>
          <w:rFonts w:ascii="Calibri" w:hAnsi="Calibri"/>
        </w:rPr>
      </w:pPr>
      <w:r w:rsidRPr="00DE185C">
        <w:rPr>
          <w:rFonts w:ascii="Calibri" w:hAnsi="Calibri"/>
        </w:rPr>
        <w:t xml:space="preserve">The general standards for dispensing and storing hydrogen fall under NFPA 2 Hydrogen Technologies Code (National Fire Protection Association, 2011). This set of codes and standards address requirements for hydrogen in compressed gas or liquid forms. It applies to the production, storage, transfer, and safe use of hydrogen in a variety of environments. More specific codes and standards are in the table below.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18"/>
        <w:gridCol w:w="5958"/>
      </w:tblGrid>
      <w:tr w:rsidR="00D95E1A" w:rsidRPr="00DE185C" w:rsidTr="00A605C0">
        <w:tc>
          <w:tcPr>
            <w:tcW w:w="361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Fueling Station Aspect</w:t>
            </w:r>
          </w:p>
        </w:tc>
        <w:tc>
          <w:tcPr>
            <w:tcW w:w="595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Pertinent Codes and Standards</w:t>
            </w:r>
          </w:p>
        </w:tc>
      </w:tr>
      <w:tr w:rsidR="00D95E1A" w:rsidRPr="00DE185C" w:rsidTr="00A605C0">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Storage Tanks/Containers</w:t>
            </w:r>
          </w:p>
        </w:tc>
        <w:tc>
          <w:tcPr>
            <w:tcW w:w="5958" w:type="dxa"/>
            <w:shd w:val="clear" w:color="auto" w:fill="B6DDE8" w:themeFill="accent5" w:themeFillTint="66"/>
          </w:tcPr>
          <w:p w:rsidR="00D95E1A" w:rsidRPr="00DE185C" w:rsidRDefault="00D95E1A" w:rsidP="00A605C0">
            <w:pPr>
              <w:rPr>
                <w:rFonts w:ascii="Calibri" w:hAnsi="Calibri"/>
                <w:i/>
              </w:rPr>
            </w:pPr>
            <w:r w:rsidRPr="00DE185C">
              <w:rPr>
                <w:rFonts w:ascii="Calibri" w:hAnsi="Calibri"/>
                <w:i/>
              </w:rPr>
              <w:t>Gaseous</w:t>
            </w:r>
          </w:p>
          <w:p w:rsidR="00D95E1A" w:rsidRPr="00DE185C" w:rsidRDefault="00D95E1A" w:rsidP="00A605C0">
            <w:pPr>
              <w:rPr>
                <w:rFonts w:ascii="Calibri" w:hAnsi="Calibri"/>
              </w:rPr>
            </w:pPr>
            <w:r w:rsidRPr="00DE185C">
              <w:rPr>
                <w:rFonts w:ascii="Calibri" w:hAnsi="Calibri"/>
              </w:rPr>
              <w:t>Compressed Gas Association (CGA) PS-20, PS-21</w:t>
            </w:r>
          </w:p>
          <w:p w:rsidR="00D95E1A" w:rsidRPr="00DE185C" w:rsidRDefault="00D95E1A" w:rsidP="00A605C0">
            <w:pPr>
              <w:rPr>
                <w:rFonts w:ascii="Calibri" w:hAnsi="Calibri"/>
              </w:rPr>
            </w:pPr>
            <w:r w:rsidRPr="00DE185C">
              <w:rPr>
                <w:rFonts w:ascii="Calibri" w:hAnsi="Calibri"/>
              </w:rPr>
              <w:t>International Fire Code 2703.2.1, 3003.2, 3503.1.2</w:t>
            </w:r>
          </w:p>
          <w:p w:rsidR="00D95E1A" w:rsidRPr="00DE185C" w:rsidRDefault="00D95E1A" w:rsidP="00A605C0">
            <w:pPr>
              <w:rPr>
                <w:rFonts w:ascii="Calibri" w:hAnsi="Calibri"/>
              </w:rPr>
            </w:pPr>
            <w:r w:rsidRPr="00DE185C">
              <w:rPr>
                <w:rFonts w:ascii="Calibri" w:hAnsi="Calibri"/>
              </w:rPr>
              <w:t>NFPA 2</w:t>
            </w:r>
          </w:p>
          <w:p w:rsidR="00D95E1A" w:rsidRPr="00DE185C" w:rsidRDefault="00D95E1A" w:rsidP="00A605C0">
            <w:pPr>
              <w:rPr>
                <w:rFonts w:ascii="Calibri" w:hAnsi="Calibri"/>
                <w:i/>
              </w:rPr>
            </w:pPr>
            <w:r w:rsidRPr="00DE185C">
              <w:rPr>
                <w:rFonts w:ascii="Calibri" w:hAnsi="Calibri"/>
                <w:i/>
              </w:rPr>
              <w:t>Liquefied</w:t>
            </w:r>
          </w:p>
          <w:p w:rsidR="00D95E1A" w:rsidRPr="00DE185C" w:rsidRDefault="00D95E1A" w:rsidP="00A605C0">
            <w:pPr>
              <w:rPr>
                <w:rFonts w:ascii="Calibri" w:hAnsi="Calibri"/>
              </w:rPr>
            </w:pPr>
            <w:r w:rsidRPr="00DE185C">
              <w:rPr>
                <w:rFonts w:ascii="Calibri" w:hAnsi="Calibri"/>
              </w:rPr>
              <w:t>International Fire Code 2703.2, 3203.1, 3203.5, 3203.6, 3204.3.1, 3204.4</w:t>
            </w:r>
          </w:p>
          <w:p w:rsidR="00D95E1A" w:rsidRPr="00DE185C" w:rsidRDefault="00D95E1A" w:rsidP="00A605C0">
            <w:pPr>
              <w:rPr>
                <w:rFonts w:ascii="Calibri" w:hAnsi="Calibri"/>
              </w:rPr>
            </w:pPr>
            <w:r w:rsidRPr="00DE185C">
              <w:rPr>
                <w:rFonts w:ascii="Calibri" w:hAnsi="Calibri"/>
              </w:rPr>
              <w:t>NFPA 2</w:t>
            </w:r>
          </w:p>
        </w:tc>
      </w:tr>
      <w:tr w:rsidR="00D95E1A" w:rsidRPr="00DE185C" w:rsidTr="00A605C0">
        <w:tc>
          <w:tcPr>
            <w:tcW w:w="361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Dispensing Operations</w:t>
            </w:r>
          </w:p>
        </w:tc>
        <w:tc>
          <w:tcPr>
            <w:tcW w:w="5958" w:type="dxa"/>
            <w:shd w:val="clear" w:color="auto" w:fill="DAEEF3" w:themeFill="accent5" w:themeFillTint="33"/>
          </w:tcPr>
          <w:p w:rsidR="00D95E1A" w:rsidRPr="00DE185C" w:rsidRDefault="00D95E1A" w:rsidP="00A605C0">
            <w:pPr>
              <w:rPr>
                <w:rFonts w:ascii="Calibri" w:hAnsi="Calibri"/>
                <w:i/>
              </w:rPr>
            </w:pPr>
            <w:r w:rsidRPr="00DE185C">
              <w:rPr>
                <w:rFonts w:ascii="Calibri" w:hAnsi="Calibri"/>
                <w:i/>
              </w:rPr>
              <w:t>Gaseous &amp; Liquefied</w:t>
            </w:r>
          </w:p>
          <w:p w:rsidR="00D95E1A" w:rsidRPr="00DE185C" w:rsidRDefault="00D95E1A" w:rsidP="00A605C0">
            <w:pPr>
              <w:rPr>
                <w:rFonts w:ascii="Calibri" w:hAnsi="Calibri"/>
              </w:rPr>
            </w:pPr>
            <w:r w:rsidRPr="00DE185C">
              <w:rPr>
                <w:rFonts w:ascii="Calibri" w:hAnsi="Calibri"/>
              </w:rPr>
              <w:t xml:space="preserve">CGA G-5.5 </w:t>
            </w:r>
          </w:p>
          <w:p w:rsidR="00D95E1A" w:rsidRPr="00DE185C" w:rsidRDefault="00D95E1A" w:rsidP="00A605C0">
            <w:pPr>
              <w:rPr>
                <w:rFonts w:ascii="Calibri" w:hAnsi="Calibri"/>
              </w:rPr>
            </w:pPr>
            <w:r w:rsidRPr="00DE185C">
              <w:rPr>
                <w:rFonts w:ascii="Calibri" w:hAnsi="Calibri"/>
              </w:rPr>
              <w:t xml:space="preserve">International Fire Code 2204, 2209.4 </w:t>
            </w:r>
          </w:p>
          <w:p w:rsidR="00D95E1A" w:rsidRPr="00DE185C" w:rsidRDefault="00D95E1A" w:rsidP="00A605C0">
            <w:pPr>
              <w:rPr>
                <w:rFonts w:ascii="Calibri" w:hAnsi="Calibri"/>
              </w:rPr>
            </w:pPr>
            <w:r w:rsidRPr="00DE185C">
              <w:rPr>
                <w:rFonts w:ascii="Calibri" w:hAnsi="Calibri"/>
              </w:rPr>
              <w:t xml:space="preserve">NFPA 30A </w:t>
            </w:r>
          </w:p>
        </w:tc>
      </w:tr>
      <w:tr w:rsidR="00D95E1A" w:rsidRPr="00DE185C" w:rsidTr="00A605C0">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On-site H2 Production</w:t>
            </w:r>
          </w:p>
        </w:tc>
        <w:tc>
          <w:tcPr>
            <w:tcW w:w="595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International Fire Code 22099.3.1, 703.1</w:t>
            </w:r>
          </w:p>
        </w:tc>
      </w:tr>
    </w:tbl>
    <w:p w:rsidR="00D95E1A" w:rsidRPr="00DE185C" w:rsidRDefault="00D95E1A" w:rsidP="00D95E1A">
      <w:pPr>
        <w:rPr>
          <w:rFonts w:ascii="Calibri" w:hAnsi="Calibri"/>
        </w:rPr>
      </w:pPr>
    </w:p>
    <w:p w:rsidR="00D95E1A" w:rsidRPr="006909BC" w:rsidRDefault="00D95E1A" w:rsidP="004B0C70">
      <w:pPr>
        <w:pStyle w:val="Heading3"/>
        <w:rPr>
          <w:rFonts w:ascii="Calibri" w:hAnsi="Calibri"/>
        </w:rPr>
      </w:pPr>
      <w:bookmarkStart w:id="33" w:name="_Toc416259245"/>
      <w:r w:rsidRPr="006909BC">
        <w:rPr>
          <w:rFonts w:ascii="Calibri" w:hAnsi="Calibri"/>
        </w:rPr>
        <w:t>Natural Gas</w:t>
      </w:r>
      <w:bookmarkEnd w:id="33"/>
    </w:p>
    <w:p w:rsidR="00D95E1A" w:rsidRPr="00DE185C" w:rsidRDefault="00D95E1A" w:rsidP="00D95E1A">
      <w:pPr>
        <w:rPr>
          <w:rFonts w:ascii="Calibri" w:hAnsi="Calibri"/>
        </w:rPr>
      </w:pPr>
      <w:r w:rsidRPr="00DE185C">
        <w:rPr>
          <w:rFonts w:ascii="Calibri" w:hAnsi="Calibri"/>
        </w:rPr>
        <w:t xml:space="preserve">The general standards for natural gas fall under NFPA 52 Gaseous Fuel Systems Code. This code addresses the design, installation, compression, storage, and dispensing system of CNG and LNG. It seeks to mitigate the risk of fire and explosion hazards. More specific codes and standards are in the table below.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18"/>
        <w:gridCol w:w="5958"/>
      </w:tblGrid>
      <w:tr w:rsidR="00D95E1A" w:rsidRPr="00DE185C" w:rsidTr="00A605C0">
        <w:tc>
          <w:tcPr>
            <w:tcW w:w="361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Dispensing and Storage</w:t>
            </w:r>
          </w:p>
        </w:tc>
        <w:tc>
          <w:tcPr>
            <w:tcW w:w="595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 xml:space="preserve">Pertinent Codes and Standards </w:t>
            </w:r>
          </w:p>
        </w:tc>
      </w:tr>
      <w:tr w:rsidR="00D95E1A" w:rsidRPr="00DE185C" w:rsidTr="00A605C0">
        <w:trPr>
          <w:trHeight w:val="503"/>
        </w:trPr>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Dispensing Component Standards</w:t>
            </w:r>
          </w:p>
        </w:tc>
        <w:tc>
          <w:tcPr>
            <w:tcW w:w="595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NFPA 52</w:t>
            </w:r>
          </w:p>
          <w:p w:rsidR="00D95E1A" w:rsidRPr="00DE185C" w:rsidRDefault="00D95E1A" w:rsidP="00A605C0">
            <w:pPr>
              <w:rPr>
                <w:rFonts w:ascii="Calibri" w:hAnsi="Calibri"/>
              </w:rPr>
            </w:pPr>
            <w:r w:rsidRPr="00DE185C">
              <w:rPr>
                <w:rFonts w:ascii="Calibri" w:hAnsi="Calibri"/>
              </w:rPr>
              <w:t>Canadian Standards Association (CSA) NGV 2, 1, 3.1, 4</w:t>
            </w:r>
          </w:p>
        </w:tc>
      </w:tr>
      <w:tr w:rsidR="00D95E1A" w:rsidRPr="00DE185C" w:rsidTr="00A605C0">
        <w:trPr>
          <w:trHeight w:val="503"/>
        </w:trPr>
        <w:tc>
          <w:tcPr>
            <w:tcW w:w="361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Dispensing Operations</w:t>
            </w:r>
          </w:p>
        </w:tc>
        <w:tc>
          <w:tcPr>
            <w:tcW w:w="595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NFPA 52</w:t>
            </w:r>
          </w:p>
        </w:tc>
      </w:tr>
      <w:tr w:rsidR="00D95E1A" w:rsidRPr="00DE185C" w:rsidTr="00A605C0">
        <w:trPr>
          <w:trHeight w:val="503"/>
        </w:trPr>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Dispensing Vehicle Interface</w:t>
            </w:r>
          </w:p>
        </w:tc>
        <w:tc>
          <w:tcPr>
            <w:tcW w:w="595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SAE J1616 RP, J2406 RP</w:t>
            </w:r>
          </w:p>
        </w:tc>
      </w:tr>
      <w:tr w:rsidR="00D95E1A" w:rsidRPr="00DE185C" w:rsidTr="00A605C0">
        <w:trPr>
          <w:trHeight w:val="503"/>
        </w:trPr>
        <w:tc>
          <w:tcPr>
            <w:tcW w:w="361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Storage Containers</w:t>
            </w:r>
          </w:p>
        </w:tc>
        <w:tc>
          <w:tcPr>
            <w:tcW w:w="595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NFPA 52</w:t>
            </w:r>
          </w:p>
        </w:tc>
      </w:tr>
    </w:tbl>
    <w:p w:rsidR="00D95E1A" w:rsidRPr="00DE185C" w:rsidRDefault="00D95E1A" w:rsidP="00D95E1A">
      <w:pPr>
        <w:rPr>
          <w:rFonts w:ascii="Calibri" w:hAnsi="Calibri"/>
        </w:rPr>
      </w:pPr>
    </w:p>
    <w:p w:rsidR="00D95E1A" w:rsidRPr="006909BC" w:rsidRDefault="00D95E1A" w:rsidP="004B0C70">
      <w:pPr>
        <w:pStyle w:val="Heading3"/>
        <w:rPr>
          <w:rFonts w:ascii="Calibri" w:hAnsi="Calibri"/>
        </w:rPr>
      </w:pPr>
      <w:bookmarkStart w:id="34" w:name="_Toc416259246"/>
      <w:r w:rsidRPr="006909BC">
        <w:rPr>
          <w:rFonts w:ascii="Calibri" w:hAnsi="Calibri"/>
        </w:rPr>
        <w:t>Propane</w:t>
      </w:r>
      <w:bookmarkEnd w:id="34"/>
      <w:r w:rsidRPr="006909BC">
        <w:rPr>
          <w:rFonts w:ascii="Calibri" w:hAnsi="Calibri"/>
        </w:rPr>
        <w:t xml:space="preserve"> </w:t>
      </w:r>
    </w:p>
    <w:p w:rsidR="00D95E1A" w:rsidRPr="00DE185C" w:rsidRDefault="00D95E1A" w:rsidP="00D95E1A">
      <w:pPr>
        <w:rPr>
          <w:rFonts w:ascii="Calibri" w:hAnsi="Calibri"/>
        </w:rPr>
      </w:pPr>
      <w:r w:rsidRPr="00DE185C">
        <w:rPr>
          <w:rFonts w:ascii="Calibri" w:hAnsi="Calibri"/>
        </w:rPr>
        <w:t>The general standards for propane</w:t>
      </w:r>
      <w:r w:rsidR="00C8755B" w:rsidRPr="00DE185C">
        <w:rPr>
          <w:rFonts w:ascii="Calibri" w:hAnsi="Calibri"/>
        </w:rPr>
        <w:t xml:space="preserve"> fall </w:t>
      </w:r>
      <w:r w:rsidRPr="00DE185C">
        <w:rPr>
          <w:rFonts w:ascii="Calibri" w:hAnsi="Calibri"/>
        </w:rPr>
        <w:t xml:space="preserve">under NFPA 58, Liquefied Petroleum Gas Code. This code addresses the construction, installation, and operation of propane fueling stations and equipment. It seeks to provide safe methods for propane storage, transportation, and use in order to mitigate fires and explosions. More specific codes and standards are in the table below.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18"/>
        <w:gridCol w:w="5850"/>
      </w:tblGrid>
      <w:tr w:rsidR="00D95E1A" w:rsidRPr="00DE185C" w:rsidTr="00A605C0">
        <w:tc>
          <w:tcPr>
            <w:tcW w:w="3618"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Fueling Station Aspect</w:t>
            </w:r>
          </w:p>
        </w:tc>
        <w:tc>
          <w:tcPr>
            <w:tcW w:w="5850" w:type="dxa"/>
            <w:shd w:val="clear" w:color="auto" w:fill="314B5A"/>
          </w:tcPr>
          <w:p w:rsidR="00D95E1A" w:rsidRPr="00DE185C" w:rsidRDefault="00D95E1A" w:rsidP="00A605C0">
            <w:pPr>
              <w:rPr>
                <w:rFonts w:ascii="Calibri" w:hAnsi="Calibri"/>
                <w:b/>
                <w:color w:val="FFFFFF" w:themeColor="background1"/>
              </w:rPr>
            </w:pPr>
            <w:r w:rsidRPr="00DE185C">
              <w:rPr>
                <w:rFonts w:ascii="Calibri" w:hAnsi="Calibri"/>
                <w:b/>
                <w:color w:val="FFFFFF" w:themeColor="background1"/>
              </w:rPr>
              <w:t>Pertinent Codes and Standards</w:t>
            </w:r>
          </w:p>
        </w:tc>
      </w:tr>
      <w:tr w:rsidR="00D95E1A" w:rsidRPr="00DE185C" w:rsidTr="00A605C0">
        <w:tc>
          <w:tcPr>
            <w:tcW w:w="3618"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Vehicle Fuel Dispense and Dispensing Systems</w:t>
            </w:r>
          </w:p>
        </w:tc>
        <w:tc>
          <w:tcPr>
            <w:tcW w:w="5850" w:type="dxa"/>
            <w:shd w:val="clear" w:color="auto" w:fill="B6DDE8" w:themeFill="accent5" w:themeFillTint="66"/>
          </w:tcPr>
          <w:p w:rsidR="00D95E1A" w:rsidRPr="00DE185C" w:rsidRDefault="00D95E1A" w:rsidP="00A605C0">
            <w:pPr>
              <w:rPr>
                <w:rFonts w:ascii="Calibri" w:hAnsi="Calibri"/>
              </w:rPr>
            </w:pPr>
            <w:r w:rsidRPr="00DE185C">
              <w:rPr>
                <w:rFonts w:ascii="Calibri" w:hAnsi="Calibri"/>
              </w:rPr>
              <w:t>NFPA 58</w:t>
            </w:r>
          </w:p>
          <w:p w:rsidR="00D95E1A" w:rsidRPr="00DE185C" w:rsidRDefault="00D95E1A" w:rsidP="00A605C0">
            <w:pPr>
              <w:rPr>
                <w:rFonts w:ascii="Calibri" w:hAnsi="Calibri"/>
              </w:rPr>
            </w:pPr>
            <w:r w:rsidRPr="00DE185C">
              <w:rPr>
                <w:rFonts w:ascii="Calibri" w:hAnsi="Calibri"/>
              </w:rPr>
              <w:t>UL 567</w:t>
            </w:r>
          </w:p>
        </w:tc>
      </w:tr>
      <w:tr w:rsidR="00D95E1A" w:rsidRPr="00DE185C" w:rsidTr="00A605C0">
        <w:tc>
          <w:tcPr>
            <w:tcW w:w="3618"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Storage Containers</w:t>
            </w:r>
          </w:p>
        </w:tc>
        <w:tc>
          <w:tcPr>
            <w:tcW w:w="5850" w:type="dxa"/>
            <w:shd w:val="clear" w:color="auto" w:fill="DAEEF3" w:themeFill="accent5" w:themeFillTint="33"/>
          </w:tcPr>
          <w:p w:rsidR="00D95E1A" w:rsidRPr="00DE185C" w:rsidRDefault="00D95E1A" w:rsidP="00A605C0">
            <w:pPr>
              <w:rPr>
                <w:rFonts w:ascii="Calibri" w:hAnsi="Calibri"/>
              </w:rPr>
            </w:pPr>
            <w:r w:rsidRPr="00DE185C">
              <w:rPr>
                <w:rFonts w:ascii="Calibri" w:hAnsi="Calibri"/>
              </w:rPr>
              <w:t xml:space="preserve">NFPA 58 </w:t>
            </w:r>
          </w:p>
          <w:p w:rsidR="00D95E1A" w:rsidRPr="00DE185C" w:rsidRDefault="00D95E1A" w:rsidP="00A605C0">
            <w:pPr>
              <w:rPr>
                <w:rFonts w:ascii="Calibri" w:hAnsi="Calibri"/>
              </w:rPr>
            </w:pPr>
            <w:r w:rsidRPr="00DE185C">
              <w:rPr>
                <w:rFonts w:ascii="Calibri" w:hAnsi="Calibri"/>
              </w:rPr>
              <w:t xml:space="preserve">ASME Boiler and Pressure Vessel Code </w:t>
            </w:r>
          </w:p>
          <w:p w:rsidR="00D95E1A" w:rsidRPr="00DE185C" w:rsidRDefault="00D95E1A" w:rsidP="00A605C0">
            <w:pPr>
              <w:rPr>
                <w:rFonts w:ascii="Calibri" w:hAnsi="Calibri"/>
              </w:rPr>
            </w:pPr>
            <w:r w:rsidRPr="00DE185C">
              <w:rPr>
                <w:rFonts w:ascii="Calibri" w:hAnsi="Calibri"/>
              </w:rPr>
              <w:t>American Petroleum Institute (API)-ASME Code for Unfired Pressure Vessels for Petroleum Liquids and Gases</w:t>
            </w:r>
          </w:p>
          <w:p w:rsidR="00D95E1A" w:rsidRPr="00DE185C" w:rsidRDefault="00D95E1A" w:rsidP="00A605C0">
            <w:pPr>
              <w:rPr>
                <w:rFonts w:ascii="Calibri" w:hAnsi="Calibri"/>
              </w:rPr>
            </w:pPr>
            <w:r w:rsidRPr="00DE185C">
              <w:rPr>
                <w:rFonts w:ascii="Calibri" w:hAnsi="Calibri"/>
              </w:rPr>
              <w:t>CGA C-6</w:t>
            </w:r>
          </w:p>
          <w:p w:rsidR="00D95E1A" w:rsidRPr="00DE185C" w:rsidRDefault="00D95E1A" w:rsidP="00A605C0">
            <w:pPr>
              <w:rPr>
                <w:rFonts w:ascii="Calibri" w:hAnsi="Calibri"/>
              </w:rPr>
            </w:pPr>
            <w:r w:rsidRPr="00DE185C">
              <w:rPr>
                <w:rFonts w:ascii="Calibri" w:hAnsi="Calibri"/>
              </w:rPr>
              <w:t xml:space="preserve">ASCE 7 </w:t>
            </w:r>
          </w:p>
        </w:tc>
      </w:tr>
    </w:tbl>
    <w:p w:rsidR="003A1285" w:rsidRDefault="003A1285" w:rsidP="003A1285"/>
    <w:p w:rsidR="003A1285" w:rsidRPr="00DE185C" w:rsidRDefault="003A1285" w:rsidP="003A1285">
      <w:pPr>
        <w:pStyle w:val="Heading2"/>
        <w:rPr>
          <w:rFonts w:ascii="Calibri" w:hAnsi="Calibri"/>
        </w:rPr>
      </w:pPr>
      <w:bookmarkStart w:id="35" w:name="_Toc410636696"/>
      <w:bookmarkStart w:id="36" w:name="_Toc416259247"/>
      <w:r w:rsidRPr="00DE185C">
        <w:rPr>
          <w:rFonts w:ascii="Calibri" w:hAnsi="Calibri"/>
        </w:rPr>
        <w:t>California Green Building Code</w:t>
      </w:r>
      <w:bookmarkEnd w:id="35"/>
      <w:bookmarkEnd w:id="36"/>
    </w:p>
    <w:p w:rsidR="003A1285" w:rsidRPr="00DE185C" w:rsidRDefault="003A1285" w:rsidP="003A1285">
      <w:pPr>
        <w:rPr>
          <w:rFonts w:ascii="Calibri" w:hAnsi="Calibri"/>
        </w:rPr>
      </w:pPr>
      <w:r w:rsidRPr="00DE185C">
        <w:rPr>
          <w:rFonts w:ascii="Calibri" w:hAnsi="Calibri"/>
        </w:rPr>
        <w:t xml:space="preserve">Title 24, the </w:t>
      </w:r>
      <w:r w:rsidRPr="00DE185C">
        <w:rPr>
          <w:rFonts w:ascii="Calibri" w:hAnsi="Calibri"/>
          <w:i/>
        </w:rPr>
        <w:t xml:space="preserve">California Building Code of Regulations </w:t>
      </w:r>
      <w:r w:rsidRPr="00DE185C">
        <w:rPr>
          <w:rFonts w:ascii="Calibri" w:hAnsi="Calibri"/>
        </w:rPr>
        <w:t>(</w:t>
      </w:r>
      <w:r w:rsidRPr="00DE185C">
        <w:rPr>
          <w:rFonts w:ascii="Calibri" w:hAnsi="Calibri"/>
          <w:i/>
        </w:rPr>
        <w:t>California Building Standards Code</w:t>
      </w:r>
      <w:r w:rsidRPr="00DE185C">
        <w:rPr>
          <w:rFonts w:ascii="Calibri" w:hAnsi="Calibri"/>
        </w:rPr>
        <w:t xml:space="preserve">), includes the </w:t>
      </w:r>
      <w:r w:rsidRPr="00DE185C">
        <w:rPr>
          <w:rFonts w:ascii="Calibri" w:hAnsi="Calibri"/>
          <w:i/>
        </w:rPr>
        <w:t>California Green Building Standards Code</w:t>
      </w:r>
      <w:r w:rsidRPr="00DE185C">
        <w:rPr>
          <w:rFonts w:ascii="Calibri" w:hAnsi="Calibri"/>
        </w:rPr>
        <w:t xml:space="preserve">, section 11 of Title 24 – the </w:t>
      </w:r>
      <w:proofErr w:type="spellStart"/>
      <w:r w:rsidRPr="00DE185C">
        <w:rPr>
          <w:rFonts w:ascii="Calibri" w:hAnsi="Calibri"/>
        </w:rPr>
        <w:t>CALGreen</w:t>
      </w:r>
      <w:proofErr w:type="spellEnd"/>
      <w:r w:rsidRPr="00DE185C">
        <w:rPr>
          <w:rFonts w:ascii="Calibri" w:hAnsi="Calibri"/>
        </w:rPr>
        <w:t xml:space="preserve"> code. The California Building Standards Code is updated every three years and it delineates building code requirements for implementation and enforcement by all cities, counties, and other permitting agencies in California. </w:t>
      </w:r>
    </w:p>
    <w:p w:rsidR="003A1285" w:rsidRPr="00DE185C" w:rsidRDefault="003A1285" w:rsidP="003A1285">
      <w:pPr>
        <w:pStyle w:val="Subtitle"/>
        <w:rPr>
          <w:rStyle w:val="Strong"/>
          <w:b/>
          <w:bCs w:val="0"/>
          <w:sz w:val="22"/>
          <w:szCs w:val="22"/>
        </w:rPr>
      </w:pPr>
    </w:p>
    <w:p w:rsidR="003A1285" w:rsidRPr="00DE185C" w:rsidRDefault="003A1285" w:rsidP="003A1285">
      <w:pPr>
        <w:pStyle w:val="Subtitle"/>
        <w:rPr>
          <w:rStyle w:val="Strong"/>
          <w:b/>
          <w:bCs w:val="0"/>
        </w:rPr>
      </w:pPr>
      <w:bookmarkStart w:id="37" w:name="_Toc416259274"/>
      <w:r w:rsidRPr="00DE185C">
        <w:rPr>
          <w:rStyle w:val="Strong"/>
          <w:b/>
          <w:bCs w:val="0"/>
        </w:rPr>
        <w:t xml:space="preserve">Figure </w:t>
      </w:r>
      <w:r w:rsidR="006A3734">
        <w:rPr>
          <w:rStyle w:val="Strong"/>
          <w:b/>
          <w:bCs w:val="0"/>
        </w:rPr>
        <w:t>5-1</w:t>
      </w:r>
      <w:r w:rsidRPr="00DE185C">
        <w:rPr>
          <w:rStyle w:val="Strong"/>
          <w:b/>
          <w:bCs w:val="0"/>
        </w:rPr>
        <w:t xml:space="preserve">: </w:t>
      </w:r>
      <w:proofErr w:type="spellStart"/>
      <w:r w:rsidRPr="00DE185C">
        <w:rPr>
          <w:rStyle w:val="Strong"/>
          <w:b/>
          <w:bCs w:val="0"/>
        </w:rPr>
        <w:t>CALGreen</w:t>
      </w:r>
      <w:proofErr w:type="spellEnd"/>
      <w:r w:rsidRPr="00DE185C">
        <w:rPr>
          <w:rStyle w:val="Strong"/>
          <w:b/>
          <w:bCs w:val="0"/>
        </w:rPr>
        <w:t xml:space="preserve"> Timeline</w:t>
      </w:r>
      <w:bookmarkEnd w:id="37"/>
    </w:p>
    <w:p w:rsidR="003A1285" w:rsidRPr="00DE185C" w:rsidRDefault="003A1285" w:rsidP="003A1285">
      <w:pPr>
        <w:jc w:val="center"/>
        <w:rPr>
          <w:rFonts w:ascii="Calibri" w:hAnsi="Calibri"/>
        </w:rPr>
      </w:pPr>
      <w:r w:rsidRPr="00DE185C">
        <w:rPr>
          <w:rFonts w:ascii="Calibri" w:hAnsi="Calibri"/>
          <w:noProof/>
          <w:lang w:eastAsia="zh-CN"/>
        </w:rPr>
        <w:drawing>
          <wp:inline distT="0" distB="0" distL="0" distR="0" wp14:anchorId="767F1E78" wp14:editId="05C0E746">
            <wp:extent cx="3819525" cy="1965029"/>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7725" t="6923" b="19224"/>
                    <a:stretch/>
                  </pic:blipFill>
                  <pic:spPr bwMode="auto">
                    <a:xfrm>
                      <a:off x="0" y="0"/>
                      <a:ext cx="3826410" cy="1968571"/>
                    </a:xfrm>
                    <a:prstGeom prst="rect">
                      <a:avLst/>
                    </a:prstGeom>
                    <a:noFill/>
                    <a:ln>
                      <a:noFill/>
                    </a:ln>
                    <a:extLst>
                      <a:ext uri="{53640926-AAD7-44D8-BBD7-CCE9431645EC}">
                        <a14:shadowObscured xmlns:a14="http://schemas.microsoft.com/office/drawing/2010/main"/>
                      </a:ext>
                    </a:extLst>
                  </pic:spPr>
                </pic:pic>
              </a:graphicData>
            </a:graphic>
          </wp:inline>
        </w:drawing>
      </w:r>
    </w:p>
    <w:p w:rsidR="003A1285" w:rsidRPr="00DE185C" w:rsidRDefault="003A1285" w:rsidP="003A1285">
      <w:pPr>
        <w:rPr>
          <w:rFonts w:ascii="Calibri" w:hAnsi="Calibri"/>
        </w:rPr>
      </w:pPr>
      <w:proofErr w:type="spellStart"/>
      <w:r w:rsidRPr="00DE185C">
        <w:rPr>
          <w:rFonts w:ascii="Calibri" w:hAnsi="Calibri"/>
        </w:rPr>
        <w:t>CALGreen</w:t>
      </w:r>
      <w:proofErr w:type="spellEnd"/>
      <w:r w:rsidRPr="00DE185C">
        <w:rPr>
          <w:rFonts w:ascii="Calibri" w:hAnsi="Calibri"/>
        </w:rPr>
        <w:t xml:space="preserve"> mandates </w:t>
      </w:r>
      <w:r>
        <w:rPr>
          <w:rFonts w:ascii="Calibri" w:hAnsi="Calibri"/>
        </w:rPr>
        <w:t xml:space="preserve">that </w:t>
      </w:r>
      <w:r w:rsidRPr="00DE185C">
        <w:rPr>
          <w:rFonts w:ascii="Calibri" w:hAnsi="Calibri"/>
        </w:rPr>
        <w:t>all permitting agencies follow codes that will “improve public health, safety and general welfare by enhancing the design and construction of buildings through the use of building concepts having a reduced negative impact or positive environmental impact and encouraging sustainable construction practices...”.</w:t>
      </w:r>
      <w:r w:rsidRPr="00DE185C">
        <w:rPr>
          <w:rStyle w:val="FootnoteReference"/>
          <w:rFonts w:ascii="Calibri" w:hAnsi="Calibri"/>
        </w:rPr>
        <w:footnoteReference w:id="15"/>
      </w:r>
      <w:r w:rsidRPr="00DE185C">
        <w:rPr>
          <w:rFonts w:ascii="Calibri" w:hAnsi="Calibri"/>
        </w:rPr>
        <w:t xml:space="preserve"> Cities, counties, and permitting agencies may adopt voluntary </w:t>
      </w:r>
      <w:proofErr w:type="spellStart"/>
      <w:r w:rsidRPr="00DE185C">
        <w:rPr>
          <w:rFonts w:ascii="Calibri" w:hAnsi="Calibri"/>
        </w:rPr>
        <w:t>CALGreen</w:t>
      </w:r>
      <w:proofErr w:type="spellEnd"/>
      <w:r w:rsidRPr="00DE185C">
        <w:rPr>
          <w:rFonts w:ascii="Calibri" w:hAnsi="Calibri"/>
        </w:rPr>
        <w:t xml:space="preserve"> standards or develop their own. In many code scenarios, permitting agencies may adopt voluntary “tiers”—additional requirements that may help jurisdictions further surpass mandatory </w:t>
      </w:r>
      <w:proofErr w:type="spellStart"/>
      <w:r w:rsidRPr="00DE185C">
        <w:rPr>
          <w:rFonts w:ascii="Calibri" w:hAnsi="Calibri"/>
        </w:rPr>
        <w:t>CALGreen</w:t>
      </w:r>
      <w:proofErr w:type="spellEnd"/>
      <w:r w:rsidRPr="00DE185C">
        <w:rPr>
          <w:rFonts w:ascii="Calibri" w:hAnsi="Calibri"/>
        </w:rPr>
        <w:t xml:space="preserve"> codes. </w:t>
      </w:r>
    </w:p>
    <w:p w:rsidR="008C52C1" w:rsidRPr="00DE185C" w:rsidRDefault="003A1285" w:rsidP="003A1285">
      <w:pPr>
        <w:rPr>
          <w:rFonts w:ascii="Calibri" w:hAnsi="Calibri"/>
        </w:rPr>
      </w:pPr>
      <w:r w:rsidRPr="00DE185C">
        <w:rPr>
          <w:rFonts w:ascii="Calibri" w:hAnsi="Calibri"/>
        </w:rPr>
        <w:t xml:space="preserve">The 2013 </w:t>
      </w:r>
      <w:proofErr w:type="spellStart"/>
      <w:r w:rsidRPr="00DE185C">
        <w:rPr>
          <w:rFonts w:ascii="Calibri" w:hAnsi="Calibri"/>
        </w:rPr>
        <w:t>CALGreen</w:t>
      </w:r>
      <w:proofErr w:type="spellEnd"/>
      <w:r w:rsidRPr="00DE185C">
        <w:rPr>
          <w:rFonts w:ascii="Calibri" w:hAnsi="Calibri"/>
        </w:rPr>
        <w:t xml:space="preserve"> code (effective January 1, 2014) does not include mandatory codes for PEV charging in residential or nonresidential buildings; only voluntary codes exist for each. However, the 2013 Intervening Cycle Update, which occurs between each three-year update to include supplements and amendments to the code as necessary, includes mandatory code language for PEV charging, and will become effective July 1, 2015. This update includes the following changes:</w:t>
      </w:r>
      <w:r w:rsidRPr="00DE185C">
        <w:rPr>
          <w:rStyle w:val="FootnoteReference"/>
          <w:rFonts w:ascii="Calibri" w:hAnsi="Calibri"/>
        </w:rPr>
        <w:footnoteReference w:id="16"/>
      </w:r>
      <w:r w:rsidR="008C52C1">
        <w:rPr>
          <w:rFonts w:ascii="Calibri" w:hAnsi="Calibri"/>
        </w:rPr>
        <w:t xml:space="preserve"> </w:t>
      </w:r>
    </w:p>
    <w:p w:rsidR="003A1285" w:rsidRPr="00DE185C" w:rsidRDefault="003A1285" w:rsidP="003A1285">
      <w:pPr>
        <w:pStyle w:val="Heading5"/>
        <w:rPr>
          <w:rStyle w:val="BookTitle"/>
          <w:rFonts w:ascii="Calibri" w:hAnsi="Calibri"/>
          <w:b/>
          <w:bCs w:val="0"/>
          <w:spacing w:val="0"/>
          <w:sz w:val="24"/>
        </w:rPr>
      </w:pPr>
      <w:bookmarkStart w:id="38" w:name="_Toc416259320"/>
      <w:r w:rsidRPr="00DE185C">
        <w:rPr>
          <w:rStyle w:val="BookTitle"/>
          <w:rFonts w:ascii="Calibri" w:hAnsi="Calibri"/>
          <w:b/>
          <w:bCs w:val="0"/>
          <w:spacing w:val="0"/>
          <w:sz w:val="24"/>
        </w:rPr>
        <w:t xml:space="preserve">Table </w:t>
      </w:r>
      <w:r w:rsidR="006A3734">
        <w:rPr>
          <w:rStyle w:val="BookTitle"/>
          <w:rFonts w:ascii="Calibri" w:hAnsi="Calibri"/>
          <w:b/>
          <w:bCs w:val="0"/>
          <w:spacing w:val="0"/>
          <w:sz w:val="24"/>
        </w:rPr>
        <w:t>5-1</w:t>
      </w:r>
      <w:r w:rsidRPr="00DE185C">
        <w:rPr>
          <w:rStyle w:val="BookTitle"/>
          <w:rFonts w:ascii="Calibri" w:hAnsi="Calibri"/>
          <w:b/>
          <w:bCs w:val="0"/>
          <w:spacing w:val="0"/>
          <w:sz w:val="24"/>
        </w:rPr>
        <w:t xml:space="preserve">: 2013 </w:t>
      </w:r>
      <w:proofErr w:type="spellStart"/>
      <w:r w:rsidRPr="00DE185C">
        <w:rPr>
          <w:rStyle w:val="BookTitle"/>
          <w:rFonts w:ascii="Calibri" w:hAnsi="Calibri"/>
          <w:b/>
          <w:bCs w:val="0"/>
          <w:spacing w:val="0"/>
          <w:sz w:val="24"/>
        </w:rPr>
        <w:t>CALGreen</w:t>
      </w:r>
      <w:proofErr w:type="spellEnd"/>
      <w:r w:rsidRPr="00DE185C">
        <w:rPr>
          <w:rStyle w:val="BookTitle"/>
          <w:rFonts w:ascii="Calibri" w:hAnsi="Calibri"/>
          <w:b/>
          <w:bCs w:val="0"/>
          <w:spacing w:val="0"/>
          <w:sz w:val="24"/>
        </w:rPr>
        <w:t xml:space="preserve"> Intervening Cycle Update</w:t>
      </w:r>
      <w:bookmarkEnd w:id="38"/>
    </w:p>
    <w:tbl>
      <w:tblPr>
        <w:tblStyle w:val="TableGrid"/>
        <w:tblW w:w="0" w:type="auto"/>
        <w:tblInd w:w="3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0"/>
        <w:gridCol w:w="7308"/>
      </w:tblGrid>
      <w:tr w:rsidR="003A1285" w:rsidRPr="00DE185C" w:rsidTr="00963E21">
        <w:tc>
          <w:tcPr>
            <w:tcW w:w="9198" w:type="dxa"/>
            <w:gridSpan w:val="2"/>
            <w:shd w:val="clear" w:color="auto" w:fill="314B5A"/>
            <w:vAlign w:val="center"/>
          </w:tcPr>
          <w:p w:rsidR="003A1285" w:rsidRPr="00DE185C" w:rsidRDefault="003A1285" w:rsidP="00963E21">
            <w:pPr>
              <w:jc w:val="center"/>
              <w:rPr>
                <w:rFonts w:ascii="Calibri" w:hAnsi="Calibri"/>
                <w:b/>
              </w:rPr>
            </w:pPr>
            <w:r w:rsidRPr="00DE185C">
              <w:rPr>
                <w:rFonts w:ascii="Calibri" w:hAnsi="Calibri"/>
                <w:b/>
                <w:color w:val="FFFFFF" w:themeColor="background1"/>
              </w:rPr>
              <w:t>Multi-Family Residential</w:t>
            </w:r>
          </w:p>
        </w:tc>
      </w:tr>
      <w:tr w:rsidR="003A1285" w:rsidRPr="00DE185C" w:rsidTr="00963E21">
        <w:tc>
          <w:tcPr>
            <w:tcW w:w="1890" w:type="dxa"/>
            <w:vMerge w:val="restart"/>
            <w:shd w:val="clear" w:color="auto" w:fill="B6DDE8" w:themeFill="accent5" w:themeFillTint="66"/>
            <w:vAlign w:val="center"/>
          </w:tcPr>
          <w:p w:rsidR="003A1285" w:rsidRPr="00DE185C" w:rsidRDefault="003A1285" w:rsidP="00963E21">
            <w:pPr>
              <w:jc w:val="center"/>
              <w:rPr>
                <w:rFonts w:ascii="Calibri" w:hAnsi="Calibri"/>
              </w:rPr>
            </w:pPr>
            <w:r w:rsidRPr="00DE185C">
              <w:rPr>
                <w:rFonts w:ascii="Calibri" w:hAnsi="Calibri"/>
              </w:rPr>
              <w:t>Mandatory</w:t>
            </w:r>
          </w:p>
        </w:tc>
        <w:tc>
          <w:tcPr>
            <w:tcW w:w="7308" w:type="dxa"/>
            <w:shd w:val="clear" w:color="auto" w:fill="B6DDE8" w:themeFill="accent5" w:themeFillTint="66"/>
          </w:tcPr>
          <w:p w:rsidR="003A1285" w:rsidRPr="00DE185C" w:rsidRDefault="003A1285" w:rsidP="00963E21">
            <w:pPr>
              <w:rPr>
                <w:rFonts w:ascii="Calibri" w:hAnsi="Calibri"/>
              </w:rPr>
            </w:pPr>
            <w:r w:rsidRPr="00DE185C">
              <w:rPr>
                <w:rFonts w:ascii="Calibri" w:hAnsi="Calibri"/>
              </w:rPr>
              <w:t>Make at least 3</w:t>
            </w:r>
            <w:r>
              <w:rPr>
                <w:rFonts w:ascii="Calibri" w:hAnsi="Calibri"/>
              </w:rPr>
              <w:t xml:space="preserve"> percent</w:t>
            </w:r>
            <w:r w:rsidRPr="00DE185C">
              <w:rPr>
                <w:rFonts w:ascii="Calibri" w:hAnsi="Calibri"/>
              </w:rPr>
              <w:t xml:space="preserve"> of total parking spaces ready for PEVs (through electrical capacity, building plans, etc.). </w:t>
            </w:r>
          </w:p>
          <w:p w:rsidR="003A1285" w:rsidRPr="00DE185C" w:rsidRDefault="003A1285" w:rsidP="00963E21">
            <w:pPr>
              <w:pStyle w:val="ListParagraph"/>
              <w:numPr>
                <w:ilvl w:val="0"/>
                <w:numId w:val="16"/>
              </w:numPr>
              <w:ind w:left="612" w:hanging="180"/>
              <w:rPr>
                <w:rFonts w:ascii="Calibri" w:hAnsi="Calibri"/>
              </w:rPr>
            </w:pPr>
            <w:r w:rsidRPr="00DE185C">
              <w:rPr>
                <w:rFonts w:ascii="Calibri" w:hAnsi="Calibri"/>
              </w:rPr>
              <w:t>Developments under 17 units exempt</w:t>
            </w:r>
          </w:p>
        </w:tc>
      </w:tr>
      <w:tr w:rsidR="003A1285" w:rsidRPr="00DE185C" w:rsidTr="00963E21">
        <w:tc>
          <w:tcPr>
            <w:tcW w:w="1890" w:type="dxa"/>
            <w:vMerge/>
            <w:shd w:val="clear" w:color="auto" w:fill="B6DDE8" w:themeFill="accent5" w:themeFillTint="66"/>
            <w:vAlign w:val="center"/>
          </w:tcPr>
          <w:p w:rsidR="003A1285" w:rsidRPr="00DE185C" w:rsidRDefault="003A1285" w:rsidP="00963E21">
            <w:pPr>
              <w:jc w:val="center"/>
              <w:rPr>
                <w:rFonts w:ascii="Calibri" w:hAnsi="Calibri"/>
              </w:rPr>
            </w:pPr>
          </w:p>
        </w:tc>
        <w:tc>
          <w:tcPr>
            <w:tcW w:w="7308" w:type="dxa"/>
            <w:shd w:val="clear" w:color="auto" w:fill="B6DDE8" w:themeFill="accent5" w:themeFillTint="66"/>
          </w:tcPr>
          <w:p w:rsidR="003A1285" w:rsidRPr="00DE185C" w:rsidRDefault="003A1285" w:rsidP="00963E21">
            <w:pPr>
              <w:rPr>
                <w:rFonts w:ascii="Calibri" w:hAnsi="Calibri"/>
              </w:rPr>
            </w:pPr>
            <w:r w:rsidRPr="00DE185C">
              <w:rPr>
                <w:rFonts w:ascii="Calibri" w:hAnsi="Calibri"/>
              </w:rPr>
              <w:t>Construction documents should show where electric vehicle charging station (EVCS) are to be located; at least ONE</w:t>
            </w:r>
            <w:r>
              <w:rPr>
                <w:rFonts w:ascii="Calibri" w:hAnsi="Calibri"/>
              </w:rPr>
              <w:t xml:space="preserve"> </w:t>
            </w:r>
            <w:r w:rsidRPr="00DE185C">
              <w:rPr>
                <w:rFonts w:ascii="Calibri" w:hAnsi="Calibri"/>
              </w:rPr>
              <w:t xml:space="preserve">EVCS needs to be located in a common area for use by all residents. </w:t>
            </w:r>
          </w:p>
        </w:tc>
      </w:tr>
      <w:tr w:rsidR="003A1285" w:rsidRPr="00DE185C" w:rsidTr="00963E21">
        <w:tc>
          <w:tcPr>
            <w:tcW w:w="1890" w:type="dxa"/>
            <w:tcBorders>
              <w:bottom w:val="single" w:sz="4" w:space="0" w:color="FFFFFF" w:themeColor="background1"/>
            </w:tcBorders>
            <w:shd w:val="clear" w:color="auto" w:fill="DAEEF3" w:themeFill="accent5" w:themeFillTint="33"/>
            <w:vAlign w:val="center"/>
          </w:tcPr>
          <w:p w:rsidR="003A1285" w:rsidRPr="00DE185C" w:rsidRDefault="003A1285" w:rsidP="00963E21">
            <w:pPr>
              <w:jc w:val="center"/>
              <w:rPr>
                <w:rFonts w:ascii="Calibri" w:hAnsi="Calibri"/>
              </w:rPr>
            </w:pPr>
            <w:r w:rsidRPr="00DE185C">
              <w:rPr>
                <w:rFonts w:ascii="Calibri" w:hAnsi="Calibri"/>
              </w:rPr>
              <w:t>Voluntary</w:t>
            </w:r>
          </w:p>
        </w:tc>
        <w:tc>
          <w:tcPr>
            <w:tcW w:w="7308" w:type="dxa"/>
            <w:tcBorders>
              <w:bottom w:val="single" w:sz="4" w:space="0" w:color="FFFFFF" w:themeColor="background1"/>
            </w:tcBorders>
            <w:shd w:val="clear" w:color="auto" w:fill="DAEEF3" w:themeFill="accent5" w:themeFillTint="33"/>
          </w:tcPr>
          <w:p w:rsidR="003A1285" w:rsidRPr="00DE185C" w:rsidRDefault="003A1285" w:rsidP="00963E21">
            <w:pPr>
              <w:rPr>
                <w:rFonts w:ascii="Calibri" w:hAnsi="Calibri"/>
              </w:rPr>
            </w:pPr>
            <w:r w:rsidRPr="00DE185C">
              <w:rPr>
                <w:rFonts w:ascii="Calibri" w:hAnsi="Calibri"/>
              </w:rPr>
              <w:t>(Tier 1 &amp; Tier 2) Make at least 5</w:t>
            </w:r>
            <w:r>
              <w:rPr>
                <w:rFonts w:ascii="Calibri" w:hAnsi="Calibri"/>
              </w:rPr>
              <w:t xml:space="preserve"> percent</w:t>
            </w:r>
            <w:r w:rsidRPr="00DE185C">
              <w:rPr>
                <w:rFonts w:ascii="Calibri" w:hAnsi="Calibri"/>
              </w:rPr>
              <w:t xml:space="preserve"> of total parking spaces ready for PEVs (through electrical capacity, building plans, etc.).</w:t>
            </w:r>
          </w:p>
          <w:p w:rsidR="003A1285" w:rsidRPr="00DE185C" w:rsidRDefault="003A1285" w:rsidP="00963E21">
            <w:pPr>
              <w:pStyle w:val="ListParagraph"/>
              <w:numPr>
                <w:ilvl w:val="0"/>
                <w:numId w:val="16"/>
              </w:numPr>
              <w:ind w:left="612" w:hanging="180"/>
              <w:rPr>
                <w:rFonts w:ascii="Calibri" w:hAnsi="Calibri"/>
              </w:rPr>
            </w:pPr>
            <w:r w:rsidRPr="00DE185C">
              <w:rPr>
                <w:rFonts w:ascii="Calibri" w:hAnsi="Calibri"/>
              </w:rPr>
              <w:t>Developments under 17 units exempt</w:t>
            </w:r>
          </w:p>
        </w:tc>
      </w:tr>
      <w:tr w:rsidR="003A1285" w:rsidRPr="00DE185C" w:rsidTr="00963E21">
        <w:tc>
          <w:tcPr>
            <w:tcW w:w="9198" w:type="dxa"/>
            <w:gridSpan w:val="2"/>
            <w:shd w:val="clear" w:color="auto" w:fill="314B5A"/>
            <w:vAlign w:val="center"/>
          </w:tcPr>
          <w:p w:rsidR="003A1285" w:rsidRPr="00DE185C" w:rsidRDefault="003A1285" w:rsidP="00963E21">
            <w:pPr>
              <w:jc w:val="center"/>
              <w:rPr>
                <w:rFonts w:ascii="Calibri" w:hAnsi="Calibri"/>
                <w:b/>
                <w:color w:val="FFFFFF" w:themeColor="background1"/>
              </w:rPr>
            </w:pPr>
            <w:r w:rsidRPr="00DE185C">
              <w:rPr>
                <w:rFonts w:ascii="Calibri" w:hAnsi="Calibri"/>
                <w:b/>
                <w:color w:val="FFFFFF" w:themeColor="background1"/>
              </w:rPr>
              <w:t>Single-Family Residential</w:t>
            </w:r>
          </w:p>
        </w:tc>
      </w:tr>
      <w:tr w:rsidR="003A1285" w:rsidRPr="00DE185C" w:rsidTr="00963E21">
        <w:tc>
          <w:tcPr>
            <w:tcW w:w="1890" w:type="dxa"/>
            <w:shd w:val="clear" w:color="auto" w:fill="B6DDE8" w:themeFill="accent5" w:themeFillTint="66"/>
            <w:vAlign w:val="center"/>
          </w:tcPr>
          <w:p w:rsidR="003A1285" w:rsidRPr="00DE185C" w:rsidRDefault="003A1285" w:rsidP="00963E21">
            <w:pPr>
              <w:jc w:val="center"/>
              <w:rPr>
                <w:rFonts w:ascii="Calibri" w:hAnsi="Calibri"/>
              </w:rPr>
            </w:pPr>
            <w:r w:rsidRPr="00DE185C">
              <w:rPr>
                <w:rFonts w:ascii="Calibri" w:hAnsi="Calibri"/>
              </w:rPr>
              <w:t>Mandatory</w:t>
            </w:r>
          </w:p>
        </w:tc>
        <w:tc>
          <w:tcPr>
            <w:tcW w:w="7308" w:type="dxa"/>
            <w:shd w:val="clear" w:color="auto" w:fill="B6DDE8" w:themeFill="accent5" w:themeFillTint="66"/>
          </w:tcPr>
          <w:p w:rsidR="003A1285" w:rsidRPr="00DE185C" w:rsidRDefault="003A1285" w:rsidP="00963E21">
            <w:pPr>
              <w:rPr>
                <w:rFonts w:ascii="Calibri" w:hAnsi="Calibri"/>
              </w:rPr>
            </w:pPr>
            <w:r w:rsidRPr="00DE185C">
              <w:rPr>
                <w:rFonts w:ascii="Calibri" w:hAnsi="Calibri"/>
              </w:rPr>
              <w:t xml:space="preserve">Install raceway and electrical panel capacity to support 40 amp capacity electrical circuit. </w:t>
            </w:r>
          </w:p>
        </w:tc>
      </w:tr>
      <w:tr w:rsidR="003A1285" w:rsidRPr="00DE185C" w:rsidTr="00963E21">
        <w:tc>
          <w:tcPr>
            <w:tcW w:w="1890" w:type="dxa"/>
            <w:tcBorders>
              <w:bottom w:val="single" w:sz="4" w:space="0" w:color="FFFFFF" w:themeColor="background1"/>
            </w:tcBorders>
            <w:shd w:val="clear" w:color="auto" w:fill="DAEEF3" w:themeFill="accent5" w:themeFillTint="33"/>
            <w:vAlign w:val="center"/>
          </w:tcPr>
          <w:p w:rsidR="003A1285" w:rsidRPr="00DE185C" w:rsidRDefault="003A1285" w:rsidP="00963E21">
            <w:pPr>
              <w:jc w:val="center"/>
              <w:rPr>
                <w:rFonts w:ascii="Calibri" w:hAnsi="Calibri"/>
              </w:rPr>
            </w:pPr>
            <w:r w:rsidRPr="00DE185C">
              <w:rPr>
                <w:rFonts w:ascii="Calibri" w:hAnsi="Calibri"/>
              </w:rPr>
              <w:t>Voluntary</w:t>
            </w:r>
          </w:p>
        </w:tc>
        <w:tc>
          <w:tcPr>
            <w:tcW w:w="7308" w:type="dxa"/>
            <w:tcBorders>
              <w:bottom w:val="single" w:sz="4" w:space="0" w:color="FFFFFF" w:themeColor="background1"/>
            </w:tcBorders>
            <w:shd w:val="clear" w:color="auto" w:fill="DAEEF3" w:themeFill="accent5" w:themeFillTint="33"/>
          </w:tcPr>
          <w:p w:rsidR="003A1285" w:rsidRPr="00DE185C" w:rsidRDefault="003A1285" w:rsidP="00963E21">
            <w:pPr>
              <w:rPr>
                <w:rFonts w:ascii="Calibri" w:hAnsi="Calibri"/>
              </w:rPr>
            </w:pPr>
            <w:r w:rsidRPr="00DE185C">
              <w:rPr>
                <w:rFonts w:ascii="Calibri" w:hAnsi="Calibri"/>
              </w:rPr>
              <w:t xml:space="preserve">(Tier 1 &amp; Tier 2) Install complete 208/240-volt branch circuit at minimum 40 amps. </w:t>
            </w:r>
          </w:p>
        </w:tc>
      </w:tr>
      <w:tr w:rsidR="003A1285" w:rsidRPr="00DE185C" w:rsidTr="00963E21">
        <w:tc>
          <w:tcPr>
            <w:tcW w:w="9198" w:type="dxa"/>
            <w:gridSpan w:val="2"/>
            <w:shd w:val="clear" w:color="auto" w:fill="314B5A"/>
            <w:vAlign w:val="center"/>
          </w:tcPr>
          <w:p w:rsidR="003A1285" w:rsidRPr="00DE185C" w:rsidRDefault="003A1285" w:rsidP="00963E21">
            <w:pPr>
              <w:jc w:val="center"/>
              <w:rPr>
                <w:rFonts w:ascii="Calibri" w:hAnsi="Calibri"/>
                <w:b/>
                <w:color w:val="FFFFFF" w:themeColor="background1"/>
              </w:rPr>
            </w:pPr>
            <w:r w:rsidRPr="00DE185C">
              <w:rPr>
                <w:rFonts w:ascii="Calibri" w:hAnsi="Calibri"/>
                <w:b/>
                <w:color w:val="FFFFFF" w:themeColor="background1"/>
              </w:rPr>
              <w:t>Nonresidential</w:t>
            </w:r>
          </w:p>
        </w:tc>
      </w:tr>
      <w:tr w:rsidR="003A1285" w:rsidRPr="00DE185C" w:rsidTr="00963E21">
        <w:tc>
          <w:tcPr>
            <w:tcW w:w="1890" w:type="dxa"/>
            <w:vMerge w:val="restart"/>
            <w:shd w:val="clear" w:color="auto" w:fill="B6DDE8" w:themeFill="accent5" w:themeFillTint="66"/>
            <w:vAlign w:val="center"/>
          </w:tcPr>
          <w:p w:rsidR="003A1285" w:rsidRPr="00DE185C" w:rsidRDefault="003A1285" w:rsidP="00963E21">
            <w:pPr>
              <w:jc w:val="center"/>
              <w:rPr>
                <w:rFonts w:ascii="Calibri" w:hAnsi="Calibri"/>
              </w:rPr>
            </w:pPr>
            <w:r w:rsidRPr="00DE185C">
              <w:rPr>
                <w:rFonts w:ascii="Calibri" w:hAnsi="Calibri"/>
              </w:rPr>
              <w:t>Mandatory</w:t>
            </w:r>
          </w:p>
        </w:tc>
        <w:tc>
          <w:tcPr>
            <w:tcW w:w="7308" w:type="dxa"/>
            <w:shd w:val="clear" w:color="auto" w:fill="B6DDE8" w:themeFill="accent5" w:themeFillTint="66"/>
          </w:tcPr>
          <w:p w:rsidR="003A1285" w:rsidRPr="00DE185C" w:rsidRDefault="003A1285" w:rsidP="00963E21">
            <w:pPr>
              <w:rPr>
                <w:rFonts w:ascii="Calibri" w:hAnsi="Calibri"/>
              </w:rPr>
            </w:pPr>
            <w:r w:rsidRPr="00DE185C">
              <w:rPr>
                <w:rFonts w:ascii="Calibri" w:hAnsi="Calibri"/>
              </w:rPr>
              <w:t xml:space="preserve">Install electrical panel capacity to support 40 amp capacity electrical circuit. </w:t>
            </w:r>
          </w:p>
        </w:tc>
      </w:tr>
      <w:tr w:rsidR="003A1285" w:rsidRPr="00DE185C" w:rsidTr="00963E21">
        <w:tc>
          <w:tcPr>
            <w:tcW w:w="1890" w:type="dxa"/>
            <w:vMerge/>
            <w:shd w:val="clear" w:color="auto" w:fill="B6DDE8" w:themeFill="accent5" w:themeFillTint="66"/>
          </w:tcPr>
          <w:p w:rsidR="003A1285" w:rsidRPr="00DE185C" w:rsidRDefault="003A1285" w:rsidP="00963E21">
            <w:pPr>
              <w:rPr>
                <w:rFonts w:ascii="Calibri" w:hAnsi="Calibri"/>
              </w:rPr>
            </w:pPr>
          </w:p>
        </w:tc>
        <w:tc>
          <w:tcPr>
            <w:tcW w:w="7308" w:type="dxa"/>
            <w:shd w:val="clear" w:color="auto" w:fill="B6DDE8" w:themeFill="accent5" w:themeFillTint="66"/>
          </w:tcPr>
          <w:p w:rsidR="003A1285" w:rsidRPr="00DE185C" w:rsidRDefault="003A1285" w:rsidP="00963E21">
            <w:pPr>
              <w:rPr>
                <w:rFonts w:ascii="Calibri" w:hAnsi="Calibri"/>
              </w:rPr>
            </w:pPr>
            <w:r w:rsidRPr="00DE185C">
              <w:rPr>
                <w:rFonts w:ascii="Calibri" w:hAnsi="Calibri"/>
              </w:rPr>
              <w:t xml:space="preserve">If there are more than 50 parking spaces, at least 1 or more must be ready for PEVs, see table below. </w:t>
            </w:r>
          </w:p>
        </w:tc>
      </w:tr>
      <w:tr w:rsidR="003A1285" w:rsidRPr="00DE185C" w:rsidTr="00963E21">
        <w:tc>
          <w:tcPr>
            <w:tcW w:w="1890" w:type="dxa"/>
            <w:vMerge w:val="restart"/>
            <w:shd w:val="clear" w:color="auto" w:fill="DAEEF3" w:themeFill="accent5" w:themeFillTint="33"/>
            <w:vAlign w:val="center"/>
          </w:tcPr>
          <w:p w:rsidR="003A1285" w:rsidRPr="00DE185C" w:rsidRDefault="003A1285" w:rsidP="00963E21">
            <w:pPr>
              <w:jc w:val="center"/>
              <w:rPr>
                <w:rFonts w:ascii="Calibri" w:hAnsi="Calibri"/>
              </w:rPr>
            </w:pPr>
            <w:r w:rsidRPr="00DE185C">
              <w:rPr>
                <w:rFonts w:ascii="Calibri" w:hAnsi="Calibri"/>
              </w:rPr>
              <w:t>Voluntary</w:t>
            </w:r>
          </w:p>
        </w:tc>
        <w:tc>
          <w:tcPr>
            <w:tcW w:w="7308" w:type="dxa"/>
            <w:shd w:val="clear" w:color="auto" w:fill="DAEEF3" w:themeFill="accent5" w:themeFillTint="33"/>
          </w:tcPr>
          <w:p w:rsidR="003A1285" w:rsidRPr="00DE185C" w:rsidRDefault="003A1285" w:rsidP="00963E21">
            <w:pPr>
              <w:rPr>
                <w:rFonts w:ascii="Calibri" w:hAnsi="Calibri"/>
              </w:rPr>
            </w:pPr>
            <w:r w:rsidRPr="00DE185C">
              <w:rPr>
                <w:rFonts w:ascii="Calibri" w:hAnsi="Calibri"/>
              </w:rPr>
              <w:t>(Tier 1) At least 4</w:t>
            </w:r>
            <w:r>
              <w:rPr>
                <w:rFonts w:ascii="Calibri" w:hAnsi="Calibri"/>
              </w:rPr>
              <w:t xml:space="preserve"> percent</w:t>
            </w:r>
            <w:r w:rsidRPr="00DE185C">
              <w:rPr>
                <w:rFonts w:ascii="Calibri" w:hAnsi="Calibri"/>
              </w:rPr>
              <w:t xml:space="preserve"> of parking spaces must be ready for PEVs. </w:t>
            </w:r>
          </w:p>
        </w:tc>
      </w:tr>
      <w:tr w:rsidR="003A1285" w:rsidRPr="00DE185C" w:rsidTr="00963E21">
        <w:tc>
          <w:tcPr>
            <w:tcW w:w="1890" w:type="dxa"/>
            <w:vMerge/>
            <w:shd w:val="clear" w:color="auto" w:fill="DAEEF3" w:themeFill="accent5" w:themeFillTint="33"/>
            <w:vAlign w:val="center"/>
          </w:tcPr>
          <w:p w:rsidR="003A1285" w:rsidRPr="00DE185C" w:rsidRDefault="003A1285" w:rsidP="00963E21">
            <w:pPr>
              <w:jc w:val="center"/>
              <w:rPr>
                <w:rFonts w:ascii="Calibri" w:hAnsi="Calibri"/>
              </w:rPr>
            </w:pPr>
          </w:p>
        </w:tc>
        <w:tc>
          <w:tcPr>
            <w:tcW w:w="7308" w:type="dxa"/>
            <w:shd w:val="clear" w:color="auto" w:fill="DAEEF3" w:themeFill="accent5" w:themeFillTint="33"/>
          </w:tcPr>
          <w:p w:rsidR="003A1285" w:rsidRPr="00DE185C" w:rsidRDefault="003A1285" w:rsidP="00963E21">
            <w:pPr>
              <w:rPr>
                <w:rFonts w:ascii="Calibri" w:hAnsi="Calibri"/>
              </w:rPr>
            </w:pPr>
            <w:r w:rsidRPr="00DE185C">
              <w:rPr>
                <w:rFonts w:ascii="Calibri" w:hAnsi="Calibri"/>
              </w:rPr>
              <w:t>(Tier 2) At least 6</w:t>
            </w:r>
            <w:r>
              <w:rPr>
                <w:rFonts w:ascii="Calibri" w:hAnsi="Calibri"/>
              </w:rPr>
              <w:t xml:space="preserve"> percent</w:t>
            </w:r>
            <w:r w:rsidRPr="00DE185C">
              <w:rPr>
                <w:rFonts w:ascii="Calibri" w:hAnsi="Calibri"/>
              </w:rPr>
              <w:t xml:space="preserve"> of parking spaces must be ready for PEVs. </w:t>
            </w:r>
          </w:p>
        </w:tc>
      </w:tr>
    </w:tbl>
    <w:p w:rsidR="003A1285" w:rsidRDefault="003A1285" w:rsidP="003A1285"/>
    <w:p w:rsidR="00AA2D31" w:rsidRPr="00DE185C" w:rsidRDefault="00AA2D31" w:rsidP="00AA2D31">
      <w:pPr>
        <w:pStyle w:val="Heading2"/>
        <w:rPr>
          <w:rFonts w:ascii="Calibri" w:hAnsi="Calibri"/>
        </w:rPr>
      </w:pPr>
      <w:bookmarkStart w:id="39" w:name="_Toc416259248"/>
      <w:r w:rsidRPr="00DE185C">
        <w:rPr>
          <w:rFonts w:ascii="Calibri" w:hAnsi="Calibri"/>
        </w:rPr>
        <w:t>Zoning and Parking</w:t>
      </w:r>
      <w:bookmarkEnd w:id="39"/>
      <w:r w:rsidRPr="00DE185C">
        <w:rPr>
          <w:rFonts w:ascii="Calibri" w:hAnsi="Calibri"/>
        </w:rPr>
        <w:t xml:space="preserve"> </w:t>
      </w:r>
    </w:p>
    <w:p w:rsidR="00AA2D31" w:rsidRPr="00DE185C" w:rsidRDefault="00AA2D31" w:rsidP="00AA2D31">
      <w:pPr>
        <w:rPr>
          <w:rFonts w:ascii="Calibri" w:hAnsi="Calibri"/>
        </w:rPr>
      </w:pPr>
      <w:r w:rsidRPr="00DE185C">
        <w:rPr>
          <w:rFonts w:ascii="Calibri" w:hAnsi="Calibri"/>
        </w:rPr>
        <w:t xml:space="preserve">Zoning and parking codes/ordinances specific to alternative fuels are important as they can streamline the installation of alternative fuel infrastructure. Without specific zoning codes and ordinances, it may become difficult for alternative fuel providers to navigate the station installation process. </w:t>
      </w:r>
    </w:p>
    <w:p w:rsidR="00AA2D31" w:rsidRPr="00DE185C" w:rsidRDefault="00AA2D31" w:rsidP="00AA2D31">
      <w:pPr>
        <w:rPr>
          <w:rFonts w:ascii="Calibri" w:hAnsi="Calibri"/>
        </w:rPr>
      </w:pPr>
      <w:r w:rsidRPr="00DE185C">
        <w:rPr>
          <w:rFonts w:ascii="Calibri" w:hAnsi="Calibri"/>
        </w:rPr>
        <w:t>In the Public Agency Survey, respondents were asked to provide information about the zoning codes and</w:t>
      </w:r>
      <w:r>
        <w:rPr>
          <w:rFonts w:ascii="Calibri" w:hAnsi="Calibri"/>
        </w:rPr>
        <w:t>/or</w:t>
      </w:r>
      <w:r w:rsidRPr="00DE185C">
        <w:rPr>
          <w:rFonts w:ascii="Calibri" w:hAnsi="Calibri"/>
        </w:rPr>
        <w:t xml:space="preserve"> ordinances in their jurisdictions to better understand the process required to install fueling infrastructure. Only one respondent indicated that their agency has zoning codes/ordinances that address alternative fuel infrastructure; specifically, for electric vehicle infrastructure (Figure 4-5). The remaining respondents either were unsure of their jurisdiction’s zoning codes/ordinances or do not have zoning codes</w:t>
      </w:r>
      <w:r>
        <w:rPr>
          <w:rFonts w:ascii="Calibri" w:hAnsi="Calibri"/>
        </w:rPr>
        <w:t>/</w:t>
      </w:r>
      <w:r w:rsidRPr="00DE185C">
        <w:rPr>
          <w:rFonts w:ascii="Calibri" w:hAnsi="Calibri"/>
        </w:rPr>
        <w:t xml:space="preserve">ordinances specific to alternative fuels. </w:t>
      </w:r>
      <w:r>
        <w:rPr>
          <w:rFonts w:ascii="Calibri" w:hAnsi="Calibri"/>
        </w:rPr>
        <w:t>The lack of codification for alternative fuel infrastructure highlights the need for toolkit development to help support further fuel deployment.</w:t>
      </w:r>
    </w:p>
    <w:p w:rsidR="00AA2D31" w:rsidRPr="00DE185C" w:rsidRDefault="00AA2D31" w:rsidP="00AA2D31">
      <w:pPr>
        <w:pStyle w:val="Subtitle"/>
      </w:pPr>
      <w:bookmarkStart w:id="40" w:name="_Toc416259275"/>
      <w:r w:rsidRPr="00DE185C">
        <w:t xml:space="preserve">Figure </w:t>
      </w:r>
      <w:r w:rsidR="006A3734">
        <w:t>5-2</w:t>
      </w:r>
      <w:r w:rsidRPr="00DE185C">
        <w:t>: Public Agency Respondents with Alternative Fuel Zoning Codes/Ordinances</w:t>
      </w:r>
      <w:bookmarkEnd w:id="40"/>
      <w:r w:rsidRPr="00DE185C">
        <w:t xml:space="preserve"> </w:t>
      </w:r>
    </w:p>
    <w:p w:rsidR="00AA2D31" w:rsidRPr="00DE185C" w:rsidRDefault="00AA2D31" w:rsidP="00AA2D31">
      <w:pPr>
        <w:pStyle w:val="Heading3"/>
        <w:rPr>
          <w:rFonts w:ascii="Calibri" w:hAnsi="Calibri"/>
        </w:rPr>
      </w:pPr>
    </w:p>
    <w:p w:rsidR="00AA2D31" w:rsidRPr="00DE185C" w:rsidRDefault="00AA2D31" w:rsidP="00AA2D31">
      <w:pPr>
        <w:rPr>
          <w:rFonts w:ascii="Calibri" w:hAnsi="Calibri"/>
        </w:rPr>
      </w:pPr>
      <w:r w:rsidRPr="00DE185C">
        <w:rPr>
          <w:rFonts w:ascii="Calibri" w:hAnsi="Calibri"/>
          <w:noProof/>
          <w:lang w:eastAsia="zh-CN"/>
        </w:rPr>
        <w:drawing>
          <wp:inline distT="0" distB="0" distL="0" distR="0" wp14:anchorId="54750E44" wp14:editId="29B13C7E">
            <wp:extent cx="5943600" cy="2668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2668270"/>
                    </a:xfrm>
                    <a:prstGeom prst="rect">
                      <a:avLst/>
                    </a:prstGeom>
                  </pic:spPr>
                </pic:pic>
              </a:graphicData>
            </a:graphic>
          </wp:inline>
        </w:drawing>
      </w:r>
    </w:p>
    <w:p w:rsidR="00AA2D31" w:rsidRPr="00AA2D31" w:rsidRDefault="00AA2D31" w:rsidP="003A1285">
      <w:pPr>
        <w:rPr>
          <w:rFonts w:ascii="Calibri" w:hAnsi="Calibri"/>
        </w:rPr>
      </w:pPr>
      <w:r w:rsidRPr="00DE185C">
        <w:rPr>
          <w:rFonts w:ascii="Calibri" w:hAnsi="Calibri"/>
        </w:rPr>
        <w:t>Respondents were also asked whether they ha</w:t>
      </w:r>
      <w:r>
        <w:rPr>
          <w:rFonts w:ascii="Calibri" w:hAnsi="Calibri"/>
        </w:rPr>
        <w:t>d</w:t>
      </w:r>
      <w:r w:rsidRPr="00DE185C">
        <w:rPr>
          <w:rFonts w:ascii="Calibri" w:hAnsi="Calibri"/>
        </w:rPr>
        <w:t xml:space="preserve"> parking codes/ordinances for alternative fuel vehicles. Nearly 40</w:t>
      </w:r>
      <w:r>
        <w:rPr>
          <w:rFonts w:ascii="Calibri" w:hAnsi="Calibri"/>
        </w:rPr>
        <w:t xml:space="preserve"> percent</w:t>
      </w:r>
      <w:r w:rsidRPr="00DE185C">
        <w:rPr>
          <w:rFonts w:ascii="Calibri" w:hAnsi="Calibri"/>
        </w:rPr>
        <w:t xml:space="preserve"> of respondents indicated that their jurisdictions ha</w:t>
      </w:r>
      <w:r>
        <w:rPr>
          <w:rFonts w:ascii="Calibri" w:hAnsi="Calibri"/>
        </w:rPr>
        <w:t>d</w:t>
      </w:r>
      <w:r w:rsidRPr="00DE185C">
        <w:rPr>
          <w:rFonts w:ascii="Calibri" w:hAnsi="Calibri"/>
        </w:rPr>
        <w:t xml:space="preserve"> parking policies for electric vehicles or a policy for general alternative fuel/low-emission vehicles.</w:t>
      </w:r>
      <w:r>
        <w:rPr>
          <w:rFonts w:ascii="Calibri" w:hAnsi="Calibri"/>
        </w:rPr>
        <w:t xml:space="preserve"> </w:t>
      </w:r>
      <w:r w:rsidRPr="00DE185C">
        <w:rPr>
          <w:rFonts w:ascii="Calibri" w:hAnsi="Calibri"/>
        </w:rPr>
        <w:t>Another 38</w:t>
      </w:r>
      <w:r>
        <w:rPr>
          <w:rFonts w:ascii="Calibri" w:hAnsi="Calibri"/>
        </w:rPr>
        <w:t xml:space="preserve"> percent</w:t>
      </w:r>
      <w:r w:rsidRPr="00DE185C">
        <w:rPr>
          <w:rFonts w:ascii="Calibri" w:hAnsi="Calibri"/>
        </w:rPr>
        <w:t xml:space="preserve"> ha</w:t>
      </w:r>
      <w:r>
        <w:rPr>
          <w:rFonts w:ascii="Calibri" w:hAnsi="Calibri"/>
        </w:rPr>
        <w:t>d</w:t>
      </w:r>
      <w:r w:rsidRPr="00DE185C">
        <w:rPr>
          <w:rFonts w:ascii="Calibri" w:hAnsi="Calibri"/>
        </w:rPr>
        <w:t xml:space="preserve"> no parking policies for specific alternative fuel vehicles. The remain</w:t>
      </w:r>
      <w:r>
        <w:rPr>
          <w:rFonts w:ascii="Calibri" w:hAnsi="Calibri"/>
        </w:rPr>
        <w:t>ing</w:t>
      </w:r>
      <w:r w:rsidRPr="00DE185C">
        <w:rPr>
          <w:rFonts w:ascii="Calibri" w:hAnsi="Calibri"/>
        </w:rPr>
        <w:t xml:space="preserve"> respondents </w:t>
      </w:r>
      <w:r>
        <w:rPr>
          <w:rFonts w:ascii="Calibri" w:hAnsi="Calibri"/>
        </w:rPr>
        <w:t>we</w:t>
      </w:r>
      <w:r w:rsidRPr="00DE185C">
        <w:rPr>
          <w:rFonts w:ascii="Calibri" w:hAnsi="Calibri"/>
        </w:rPr>
        <w:t>re unsure if their jurisdiction ha</w:t>
      </w:r>
      <w:r>
        <w:rPr>
          <w:rFonts w:ascii="Calibri" w:hAnsi="Calibri"/>
        </w:rPr>
        <w:t>d</w:t>
      </w:r>
      <w:r w:rsidRPr="00DE185C">
        <w:rPr>
          <w:rFonts w:ascii="Calibri" w:hAnsi="Calibri"/>
        </w:rPr>
        <w:t xml:space="preserve"> policies that address alternative fuel/low-emission vehicles. </w:t>
      </w:r>
      <w:r>
        <w:rPr>
          <w:rFonts w:ascii="Calibri" w:hAnsi="Calibri"/>
        </w:rPr>
        <w:t>Through Refuel and toolkit creation, alternative fuels can be integrated into parking policies.</w:t>
      </w:r>
    </w:p>
    <w:p w:rsidR="00524127" w:rsidRPr="00DE185C" w:rsidRDefault="00D95E1A" w:rsidP="00524127">
      <w:pPr>
        <w:pStyle w:val="Heading1"/>
        <w:rPr>
          <w:rFonts w:ascii="Calibri" w:hAnsi="Calibri"/>
        </w:rPr>
      </w:pPr>
      <w:bookmarkStart w:id="41" w:name="_Toc416259249"/>
      <w:r w:rsidRPr="00B774A1">
        <w:rPr>
          <w:rFonts w:ascii="Calibri" w:hAnsi="Calibri"/>
        </w:rPr>
        <w:t xml:space="preserve">6. </w:t>
      </w:r>
      <w:r w:rsidR="00524127" w:rsidRPr="00B774A1">
        <w:rPr>
          <w:rFonts w:ascii="Calibri" w:hAnsi="Calibri"/>
        </w:rPr>
        <w:t>Infrastructure</w:t>
      </w:r>
      <w:bookmarkEnd w:id="28"/>
      <w:bookmarkEnd w:id="41"/>
      <w:r w:rsidR="00524127" w:rsidRPr="00DE185C">
        <w:rPr>
          <w:rFonts w:ascii="Calibri" w:hAnsi="Calibri"/>
        </w:rPr>
        <w:t xml:space="preserve"> </w:t>
      </w:r>
    </w:p>
    <w:p w:rsidR="00524127" w:rsidRPr="00DE185C" w:rsidRDefault="00524127" w:rsidP="00524127">
      <w:pPr>
        <w:rPr>
          <w:rFonts w:ascii="Calibri" w:hAnsi="Calibri"/>
        </w:rPr>
      </w:pPr>
      <w:r w:rsidRPr="00DE185C">
        <w:rPr>
          <w:rFonts w:ascii="Calibri" w:hAnsi="Calibri"/>
        </w:rPr>
        <w:t xml:space="preserve">Alternative fuel infrastructure in San Diego County has seen noticeable growth in the past five years. . </w:t>
      </w:r>
      <w:r w:rsidR="00FD4493">
        <w:rPr>
          <w:rFonts w:ascii="Calibri" w:hAnsi="Calibri"/>
        </w:rPr>
        <w:t>C</w:t>
      </w:r>
      <w:r w:rsidR="0027514A" w:rsidRPr="00DE185C">
        <w:rPr>
          <w:rFonts w:ascii="Calibri" w:hAnsi="Calibri"/>
        </w:rPr>
        <w:t>urrently</w:t>
      </w:r>
      <w:r w:rsidR="00FD4493">
        <w:rPr>
          <w:rFonts w:ascii="Calibri" w:hAnsi="Calibri"/>
        </w:rPr>
        <w:t>, there is</w:t>
      </w:r>
      <w:r w:rsidR="0027514A" w:rsidRPr="00DE185C">
        <w:rPr>
          <w:rFonts w:ascii="Calibri" w:hAnsi="Calibri"/>
        </w:rPr>
        <w:t xml:space="preserve"> at least one </w:t>
      </w:r>
      <w:r w:rsidRPr="00DE185C">
        <w:rPr>
          <w:rFonts w:ascii="Calibri" w:hAnsi="Calibri"/>
        </w:rPr>
        <w:t xml:space="preserve">public </w:t>
      </w:r>
      <w:r w:rsidR="0027514A" w:rsidRPr="00DE185C">
        <w:rPr>
          <w:rFonts w:ascii="Calibri" w:hAnsi="Calibri"/>
        </w:rPr>
        <w:t xml:space="preserve">fueling </w:t>
      </w:r>
      <w:r w:rsidRPr="00DE185C">
        <w:rPr>
          <w:rFonts w:ascii="Calibri" w:hAnsi="Calibri"/>
        </w:rPr>
        <w:t xml:space="preserve">station for each alternative fuel </w:t>
      </w:r>
      <w:r w:rsidR="00FD4493">
        <w:rPr>
          <w:rFonts w:ascii="Calibri" w:hAnsi="Calibri"/>
        </w:rPr>
        <w:t xml:space="preserve">type </w:t>
      </w:r>
      <w:r w:rsidRPr="00DE185C">
        <w:rPr>
          <w:rFonts w:ascii="Calibri" w:hAnsi="Calibri"/>
        </w:rPr>
        <w:t>in San Diego County, with the exception of a hydrogen fueling station, the first of which in the region is expected to be completed early 2016.</w:t>
      </w:r>
      <w:r w:rsidRPr="00DE185C">
        <w:rPr>
          <w:rStyle w:val="FootnoteReference"/>
          <w:rFonts w:ascii="Calibri" w:hAnsi="Calibri"/>
        </w:rPr>
        <w:footnoteReference w:id="17"/>
      </w:r>
      <w:r w:rsidRPr="00DE185C">
        <w:rPr>
          <w:rFonts w:ascii="Calibri" w:hAnsi="Calibri"/>
        </w:rPr>
        <w:t xml:space="preserve"> </w:t>
      </w:r>
    </w:p>
    <w:p w:rsidR="002461F8" w:rsidRPr="00DE185C" w:rsidRDefault="00B120D1"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20192" behindDoc="0" locked="0" layoutInCell="1" allowOverlap="1" wp14:anchorId="16905E0D" wp14:editId="3B74D09F">
                <wp:simplePos x="0" y="0"/>
                <wp:positionH relativeFrom="column">
                  <wp:posOffset>3131185</wp:posOffset>
                </wp:positionH>
                <wp:positionV relativeFrom="paragraph">
                  <wp:posOffset>-55245</wp:posOffset>
                </wp:positionV>
                <wp:extent cx="2944495" cy="2225040"/>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2944495" cy="2225040"/>
                          <a:chOff x="0" y="0"/>
                          <a:chExt cx="3115240" cy="1769633"/>
                        </a:xfrm>
                      </wpg:grpSpPr>
                      <wps:wsp>
                        <wps:cNvPr id="27" name="Text Box 2"/>
                        <wps:cNvSpPr txBox="1">
                          <a:spLocks noChangeArrowheads="1"/>
                        </wps:cNvSpPr>
                        <wps:spPr bwMode="auto">
                          <a:xfrm>
                            <a:off x="94453" y="127983"/>
                            <a:ext cx="3020787" cy="1445598"/>
                          </a:xfrm>
                          <a:prstGeom prst="rect">
                            <a:avLst/>
                          </a:prstGeom>
                          <a:noFill/>
                          <a:ln w="9525">
                            <a:noFill/>
                            <a:miter lim="800000"/>
                            <a:headEnd/>
                            <a:tailEnd/>
                          </a:ln>
                        </wps:spPr>
                        <wps:txbx>
                          <w:txbxContent>
                            <w:p w:rsidR="006909BC" w:rsidRPr="000536AB" w:rsidRDefault="006909BC" w:rsidP="00B120D1">
                              <w:pPr>
                                <w:pStyle w:val="CVText"/>
                                <w:spacing w:line="240" w:lineRule="auto"/>
                                <w:ind w:right="360"/>
                                <w:jc w:val="center"/>
                                <w:rPr>
                                  <w:rFonts w:ascii="Calibri" w:hAnsi="Calibri"/>
                                  <w:i/>
                                  <w:color w:val="005997"/>
                                  <w:sz w:val="30"/>
                                  <w:szCs w:val="30"/>
                                  <w:lang w:val="en-US"/>
                                </w:rPr>
                              </w:pPr>
                            </w:p>
                            <w:p w:rsidR="006909BC" w:rsidRPr="006909BC" w:rsidRDefault="006909BC" w:rsidP="00B120D1">
                              <w:pPr>
                                <w:pStyle w:val="CVText"/>
                                <w:spacing w:line="240" w:lineRule="auto"/>
                                <w:ind w:right="360"/>
                                <w:jc w:val="center"/>
                                <w:rPr>
                                  <w:rFonts w:ascii="Calibri" w:hAnsi="Calibri"/>
                                  <w:b/>
                                  <w:i/>
                                  <w:color w:val="005997"/>
                                  <w:sz w:val="28"/>
                                  <w:szCs w:val="30"/>
                                  <w:lang w:val="en-US"/>
                                </w:rPr>
                              </w:pPr>
                              <w:r>
                                <w:rPr>
                                  <w:rFonts w:ascii="Calibri" w:hAnsi="Calibri"/>
                                  <w:b/>
                                  <w:i/>
                                  <w:color w:val="005997"/>
                                  <w:sz w:val="28"/>
                                  <w:szCs w:val="30"/>
                                  <w:lang w:val="en-US"/>
                                </w:rPr>
                                <w:t>The Alternative Fuel Data Center’s station locator tool provides local station information for all alternative fuels.</w:t>
                              </w:r>
                            </w:p>
                          </w:txbxContent>
                        </wps:txbx>
                        <wps:bodyPr rot="0" vert="horz" wrap="square" lIns="91440" tIns="45720" rIns="91440" bIns="45720" anchor="t" anchorCtr="0">
                          <a:noAutofit/>
                        </wps:bodyPr>
                      </wps:wsp>
                      <pic:pic xmlns:pic="http://schemas.openxmlformats.org/drawingml/2006/picture">
                        <pic:nvPicPr>
                          <pic:cNvPr id="33" name="Picture 8" descr="3mm_Frame_CV_19April2010-01_Top.png"/>
                          <pic:cNvPicPr>
                            <a:picLocks noChangeAspect="1"/>
                          </pic:cNvPicPr>
                        </pic:nvPicPr>
                        <pic:blipFill rotWithShape="1">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 name="Picture 8" descr="3mm_Frame_CV_19April2010-01_Top.png"/>
                          <pic:cNvPicPr>
                            <a:picLocks noChangeAspect="1"/>
                          </pic:cNvPicPr>
                        </pic:nvPicPr>
                        <pic:blipFill rotWithShape="1">
                          <a:blip r:embed="rId24"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1323066"/>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9" o:spid="_x0000_s1035" style="position:absolute;margin-left:246.55pt;margin-top:-4.35pt;width:231.85pt;height:175.2pt;z-index:251720192;mso-width-relative:margin;mso-height-relative:margin" coordsize="31152,17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DdzAQAANUOAAAOAAAAZHJzL2Uyb0RvYy54bWzsV21v2zYQ/j5g/0HQ&#10;d8V6lyXEKRzbKQq0a7Bm28eApmhLqCRyJB05G/bfd0dKjmMHWJEW+5QAkfl6vHvu7jny8t2+bZwH&#10;JlXNu5kbXPiuwzrKy7rbztzf7m68qesoTbqSNLxjM/eRKffd1c8/XfaiYCGveFMy6YCQThW9mLmV&#10;1qKYTBStWEvUBResg8kNly3R0JXbSSlJD9LbZhL6fjrpuSyF5JQpBaNLO+leGfmbDaP682ajmHaa&#10;mQu6afOV5rvG7+TqkhRbSURV00EN8gotWlJ3cOhB1JJo4uxkfSaqrankim/0BeXthG82NWXGBrAm&#10;8E+seS/5ThhbtkW/FQeYANoTnF4tlv7ycCudupy5uet0pAUXmVOdHKHpxbaAFe+l+CJu5TCwtT20&#10;dr+RLf6CHc7egPp4AJXttUNhMMzjOM4T16EwF4Zh4scD7LQC35zto9Vq2BkFQRLCYrMzyNI8jSLU&#10;ajIePEH9Dur0AkJIPaGkvg+lLxURzICvEIMBpTAbYbpDA6/53gktUmYVwuToPQxDMpiAUOIjp1+V&#10;0/FFRbotm0vJ+4qREtQLjDWoNxyAWxFxVSgUsu4/8RK8QXaaG0EnWAOqSeQ6gGkQZvnUAEOKEfTI&#10;D/1sCroi6AEsTfLpM+hIIaTS7xlvHWzMXAmpYs4hDx+VtiiPS9DFHb+pmwbGSdF0Tg/xkoSJ2XA0&#10;09Yasrmp25k79fEPzyQFmrvqStPWpG5sG9zYdODN0WRrvN6v9yYe4xHWNS8fARDJbfIC2UCj4vIv&#10;1+khcWeu+nNHJHOd5kMHoOZgLma66cRJFkJHHs+sj2dIR0HUzNWuY5sLbdjBmjwH8De1QQO1tJoM&#10;KkOoXV2KmhbwP2QmtM5i7r8ZDHbpHepvWbD9JhktkV93wgMSEUTX67qp9aMhRHAJKtU93NYUAwo7&#10;T+ELCTRkOUzjqQ7wc8kUBaOjtr2/kUAB94vf74N8LmTdICl5fnB/x8WF6LboklGgFQ9xVNOTCFcC&#10;YmmM7ufLJ9h9ptu6qQVGFvr3j1pXJu1wM3oAJwdYQMETznsBWcunS053Leu0LRCSNYAQ71RVCwWh&#10;ULB2zUoI+A9lAPkBxUlDmoGxnY3/csc1lCo83lQhtmik80CgfhBKQaoNelWRktnhODkEuiIastYO&#10;B9E4DoF+kIRiMa0OQvsKcmZIzaOjIZEhDXE1prSpJH+H07nv5+G1t0j8hRf72cqb53HmZf4qi/14&#10;GiyCxT+IWxAXO8XAK6RZinoAEEbPIHyxbAwF1hYkU9isQSaZwRZQyHDwqCIMoZ8MYJL+Cr7HYhvG&#10;sSm3XpJlGabgzPWCNHSd9cyNszS1zKC0ZJpWEFYmMsZgsFH2TTwIos9rTuSnYZAN9BfHaZJmA8Qj&#10;i47U9hr2Q0sPpDewmIHlzGNJlMbgsdSbz5eZF8fLqXd9Da3FYpXHUZDGyergMYwo3n9eKwppWX6/&#10;0xDTF5yFCYjADohD14INjeFMaJ0Fygu5dnIPg13/G4sl6RuLPbEY5NQbi53dqX8Mi3lpjncJ4K4n&#10;GsuyH8Ri9koT+MNVCWnl2UU6iEIgsoEpsQzgdTrykyBBbsWb3Ru1WYozxGsqyCm1mScCvJ0MGQ7v&#10;PHycHfehffwavfoX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Ce&#10;YOUJ4QAAAAoBAAAPAAAAZHJzL2Rvd25yZXYueG1sTI9NS8NAEIbvgv9hGcFbu1nTz5hJKUU9FcFW&#10;EG/bZJqEZndDdpuk/97xpMdhHt73edPNaBrRU+drZxHUNAJBNndFbUuEz+PrZAXCB20L3ThLCDfy&#10;sMnu71KdFG6wH9QfQik4xPpEI1QhtImUPq/IaD91LVn+nV1ndOCzK2XR6YHDTSOfomghja4tN1S6&#10;pV1F+eVwNQhvgx62sXrp95fz7vZ9nL9/7RUhPj6M22cQgcbwB8OvPqtDxk4nd7WFFw3CbB0rRhEm&#10;qyUIBtbzBW85IcQztQSZpfL/hOwHAAD//wMAUEsDBAoAAAAAAAAAIQAWpFLw+AEAAPgBAAAUAAAA&#10;ZHJzL21lZGlhL2ltYWdlMS5wbmeJUE5HDQoaCgAAAA1JSERSAAAC4gAAAEYIAgAAAAaTZrkAAAAB&#10;c1JHQgCuzhzpAAAABGdBTUEAALGPC/xhBQAAAAlwSFlzAAAh1QAAIdUBBJy0nQAAAY1JREFUeF7t&#10;1iFuhGAURtHufyHdEw6BxJGaSYCO+CeZpIoJTa44xzz1Pn2/vgEAMrZtO19kCgAQIlMAgCiZAgBE&#10;yRQAIEqmAABRMgUAiJIpAECUTAEAomQKABAlUwCAKJkCAETJFAAgSqYAAFEyBQCIkikAQJRMAQCi&#10;ZAoAECVTAIAomQIARMkUACBKpgAAUTIFAIi6J1OmafoBAPhjWZaRC9fdkynzPI8NAIA367qOXLhO&#10;pgAA/0imAABRMgUAiJIpAECUTAEAomQKABAlUwCAKJkCAETJFAAgSqYAAFEyBQCIkikAQJRMAQCi&#10;ZAoAECVTAIAomQIARMkUACBKpgAAUTIFAIiSKQBAlEwBAKJkCgAQJVMAgCiZAgBEyRQAIEqmAABR&#10;MgUAiJIpAECUTAEAomQKABAlUwCAKJkCAETJFAAgSqYAAFEyBQCIkikAQJRMAQCiZAoAECVTAICo&#10;2zLl8al938cGAMCb4zhGLlz3/B0rz0wZFwAgRqYAAFEyBQCIkikAQJRMAQCSzvMX2AWQWYiJVzcA&#10;AAAASUVORK5CYIJQSwMECgAAAAAAAAAhABdtOJTyAQAA8gEAABQAAABkcnMvbWVkaWEvaW1hZ2Uy&#10;LnBuZ4lQTkcNChoKAAAADUlIRFIAAALeAAAARggCAAAAdFwEDwAAAAFzUkdCAK7OHOkAAAAEZ0FN&#10;QQAAsY8L/GEFAAAACXBIWXMAACHVAAAh1QEEnLSdAAABh0lEQVR4Xu3WMWrDUAAFQd//IL6XSjUC&#10;FUGQQj8QfsCtgsALnmle9+p9PAEA3mrf9/FHmgAAbyZNAIAQaQIAhEgTACBEmgAAIdIEAAiRJgBA&#10;iDQBAEKkCQAQIk0AgBBpAgCESBMAIESaAAAh0gQACJEmAECINAEAQqQJABAiTQCAEGkCAIRIEwAg&#10;RJoAACHSBAAIuSdNlmX5AgD4tW3bTITr7kmTdV3nBwDw8Y7jmIlwnTQBAG4mTQCAEGkCAIRIEwAg&#10;RJoAACHSBAAIkSYAQIg0AQBCpAkAECJNAIAQaQIAhEgTACBEmgAAIdIEAAiRJgBAiDQBAEKkCQAQ&#10;Ik0AgBBpAgCESBMAIESaAAAh0gQACJEmAECINAEAQqQJABAiTQCAEGkCAIRIEwAgRJoAACHSBAAI&#10;kSYAQIg0AQBCpAkAECJNAIAQaQIAhEgTACBEmgAAIdIEAAiRJgBAyG1p8v1f53nODwCAMWYiXPca&#10;FY+5AAAB0gQACJEmAECINAEAQqQJAJAxxg8KhLP8j/DWVwAAAABJRU5ErkJgglBLAQItABQABgAI&#10;AAAAIQCxgme2CgEAABMCAAATAAAAAAAAAAAAAAAAAAAAAABbQ29udGVudF9UeXBlc10ueG1sUEsB&#10;Ai0AFAAGAAgAAAAhADj9If/WAAAAlAEAAAsAAAAAAAAAAAAAAAAAOwEAAF9yZWxzLy5yZWxzUEsB&#10;Ai0AFAAGAAgAAAAhACX90N3MBAAA1Q4AAA4AAAAAAAAAAAAAAAAAOgIAAGRycy9lMm9Eb2MueG1s&#10;UEsBAi0AFAAGAAgAAAAhAC5s8ADFAAAApQEAABkAAAAAAAAAAAAAAAAAMgcAAGRycy9fcmVscy9l&#10;Mm9Eb2MueG1sLnJlbHNQSwECLQAUAAYACAAAACEAnmDlCeEAAAAKAQAADwAAAAAAAAAAAAAAAAAu&#10;CAAAZHJzL2Rvd25yZXYueG1sUEsBAi0ACgAAAAAAAAAhABakUvD4AQAA+AEAABQAAAAAAAAAAAAA&#10;AAAAPAkAAGRycy9tZWRpYS9pbWFnZTEucG5nUEsBAi0ACgAAAAAAAAAhABdtOJTyAQAA8gEAABQA&#10;AAAAAAAAAAAAAAAAZgsAAGRycy9tZWRpYS9pbWFnZTIucG5nUEsFBgAAAAAHAAcAvgEAAIoNAAAA&#10;AA==&#10;">
                <v:shape id="_x0000_s1036" type="#_x0000_t202" style="position:absolute;left:944;top:1279;width:30208;height:14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6909BC" w:rsidRPr="000536AB" w:rsidRDefault="006909BC" w:rsidP="00B120D1">
                        <w:pPr>
                          <w:pStyle w:val="CVText"/>
                          <w:spacing w:line="240" w:lineRule="auto"/>
                          <w:ind w:right="360"/>
                          <w:jc w:val="center"/>
                          <w:rPr>
                            <w:rFonts w:ascii="Calibri" w:hAnsi="Calibri"/>
                            <w:i/>
                            <w:color w:val="005997"/>
                            <w:sz w:val="30"/>
                            <w:szCs w:val="30"/>
                            <w:lang w:val="en-US"/>
                          </w:rPr>
                        </w:pPr>
                      </w:p>
                      <w:p w:rsidR="006909BC" w:rsidRPr="006909BC" w:rsidRDefault="006909BC" w:rsidP="00B120D1">
                        <w:pPr>
                          <w:pStyle w:val="CVText"/>
                          <w:spacing w:line="240" w:lineRule="auto"/>
                          <w:ind w:right="360"/>
                          <w:jc w:val="center"/>
                          <w:rPr>
                            <w:rFonts w:ascii="Calibri" w:hAnsi="Calibri"/>
                            <w:b/>
                            <w:i/>
                            <w:color w:val="005997"/>
                            <w:sz w:val="28"/>
                            <w:szCs w:val="30"/>
                            <w:lang w:val="en-US"/>
                          </w:rPr>
                        </w:pPr>
                        <w:r>
                          <w:rPr>
                            <w:rFonts w:ascii="Calibri" w:hAnsi="Calibri"/>
                            <w:b/>
                            <w:i/>
                            <w:color w:val="005997"/>
                            <w:sz w:val="28"/>
                            <w:szCs w:val="30"/>
                            <w:lang w:val="en-US"/>
                          </w:rPr>
                          <w:t>The Alternative Fuel Data Center’s station locator tool provides local station information for all alternative fuels.</w:t>
                        </w:r>
                      </w:p>
                    </w:txbxContent>
                  </v:textbox>
                </v:shape>
                <v:shape id="Picture 8" o:spid="_x0000_s1037"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6HaTDAAAA2wAAAA8AAABkcnMvZG93bnJldi54bWxEj0+LwjAUxO8LfofwBG9rqoIs1SgiCooH&#10;/4Ien82zLTYvtYna3U+/EQSPw8z8hhmOa1OIB1Uut6yg045AECdW55wqOOzn3z8gnEfWWFgmBb/k&#10;YDxqfA0x1vbJW3rsfCoChF2MCjLvy1hKl2Rk0LVtSRy8i60M+iCrVOoKnwFuCtmNor40mHNYyLCk&#10;aUbJdXc3Clbp6U6d9XJ6o+5xtplvV7c/d1aq1awnAxCeav8Jv9sLraDXg9eX8APk6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LodpMMAAADbAAAADwAAAAAAAAAAAAAAAACf&#10;AgAAZHJzL2Rvd25yZXYueG1sUEsFBgAAAAAEAAQA9wAAAI8DAAAAAA==&#10;">
                  <v:imagedata r:id="rId25" o:title="3mm_Frame_CV_19April2010-01_Top" croptop="-37860f" cropbottom="3123f" cropleft="160f" cropright="-106f" recolortarget="#1d4f5c [1448]"/>
                  <v:path arrowok="t"/>
                </v:shape>
                <v:shape id="Picture 8" o:spid="_x0000_s1038" type="#_x0000_t75" alt="3mm_Frame_CV_19April2010-01_Top.png" style="position:absolute;top:13230;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OHaDDAAAA2wAAAA8AAABkcnMvZG93bnJldi54bWxEj8FqwzAQRO+B/oPYQm6x3JYa40YJIaHg&#10;U6Fp6HmxNraxtXIlNbbz9VUg0OMwM2+Y9XYyvbiQ861lBU9JCoK4srrlWsHp632Vg/ABWWNvmRTM&#10;5GG7eVissdB25E+6HEMtIoR9gQqaEIZCSl81ZNAndiCO3tk6gyFKV0vtcIxw08vnNM2kwZbjQoMD&#10;7RuquuOvUeDy7mcuq4/vw4um8WqGLiOZKrV8nHZvIAJN4T98b5dawWsGty/xB8jN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44doMMAAADbAAAADwAAAAAAAAAAAAAAAACf&#10;AgAAZHJzL2Rvd25yZXYueG1sUEsFBgAAAAAEAAQA9wAAAI8DAAAAAA==&#10;">
                  <v:imagedata r:id="rId26" o:title="3mm_Frame_CV_19April2010-01_Top" croptop="-37860f" cropbottom="3123f" cropleft="-452f" cropright="506f" recolortarget="#1d4f5c [1448]"/>
                  <v:path arrowok="t"/>
                </v:shape>
                <w10:wrap type="square"/>
              </v:group>
            </w:pict>
          </mc:Fallback>
        </mc:AlternateContent>
      </w:r>
      <w:r w:rsidR="002461F8" w:rsidRPr="00DE185C">
        <w:rPr>
          <w:rFonts w:ascii="Calibri" w:hAnsi="Calibri"/>
        </w:rPr>
        <w:t>In the Public Agency Survey, respondents accurately estimate</w:t>
      </w:r>
      <w:r w:rsidR="002F51FA">
        <w:rPr>
          <w:rFonts w:ascii="Calibri" w:hAnsi="Calibri"/>
        </w:rPr>
        <w:t>d</w:t>
      </w:r>
      <w:r w:rsidR="002461F8" w:rsidRPr="00DE185C">
        <w:rPr>
          <w:rFonts w:ascii="Calibri" w:hAnsi="Calibri"/>
        </w:rPr>
        <w:t xml:space="preserve"> the amount of fueling stations for half of the fuel types</w:t>
      </w:r>
      <w:r w:rsidR="002F51FA">
        <w:rPr>
          <w:rFonts w:ascii="Calibri" w:hAnsi="Calibri"/>
        </w:rPr>
        <w:t>:</w:t>
      </w:r>
      <w:r w:rsidR="002461F8" w:rsidRPr="00DE185C">
        <w:rPr>
          <w:rFonts w:ascii="Calibri" w:hAnsi="Calibri"/>
        </w:rPr>
        <w:t xml:space="preserve"> the </w:t>
      </w:r>
      <w:r w:rsidR="002F51FA">
        <w:rPr>
          <w:rFonts w:ascii="Calibri" w:hAnsi="Calibri"/>
        </w:rPr>
        <w:t>number</w:t>
      </w:r>
      <w:r w:rsidR="002461F8" w:rsidRPr="00DE185C">
        <w:rPr>
          <w:rFonts w:ascii="Calibri" w:hAnsi="Calibri"/>
        </w:rPr>
        <w:t xml:space="preserve"> of biodiesel stations</w:t>
      </w:r>
      <w:r w:rsidR="002F51FA">
        <w:rPr>
          <w:rFonts w:ascii="Calibri" w:hAnsi="Calibri"/>
        </w:rPr>
        <w:t xml:space="preserve"> w</w:t>
      </w:r>
      <w:r w:rsidR="006909BC">
        <w:rPr>
          <w:rFonts w:ascii="Calibri" w:hAnsi="Calibri"/>
        </w:rPr>
        <w:t>as</w:t>
      </w:r>
      <w:r w:rsidR="002F51FA">
        <w:rPr>
          <w:rFonts w:ascii="Calibri" w:hAnsi="Calibri"/>
        </w:rPr>
        <w:t xml:space="preserve"> overestimated</w:t>
      </w:r>
      <w:r w:rsidR="002461F8" w:rsidRPr="00DE185C">
        <w:rPr>
          <w:rFonts w:ascii="Calibri" w:hAnsi="Calibri"/>
        </w:rPr>
        <w:t xml:space="preserve"> (three) and propane stations (15)</w:t>
      </w:r>
      <w:r w:rsidR="002F51FA">
        <w:rPr>
          <w:rFonts w:ascii="Calibri" w:hAnsi="Calibri"/>
        </w:rPr>
        <w:t xml:space="preserve"> were underestimated</w:t>
      </w:r>
      <w:r w:rsidR="002461F8" w:rsidRPr="00DE185C">
        <w:rPr>
          <w:rFonts w:ascii="Calibri" w:hAnsi="Calibri"/>
        </w:rPr>
        <w:t xml:space="preserve">. </w:t>
      </w:r>
      <w:r w:rsidR="00FD4493">
        <w:rPr>
          <w:rFonts w:ascii="Calibri" w:hAnsi="Calibri"/>
        </w:rPr>
        <w:t xml:space="preserve">Through the development of the toolkits and Refuel, increased </w:t>
      </w:r>
      <w:r w:rsidR="002F51FA">
        <w:rPr>
          <w:rFonts w:ascii="Calibri" w:hAnsi="Calibri"/>
        </w:rPr>
        <w:t>awareness of the</w:t>
      </w:r>
      <w:r w:rsidR="002F51FA" w:rsidRPr="002F51FA">
        <w:rPr>
          <w:rFonts w:ascii="Calibri" w:hAnsi="Calibri"/>
        </w:rPr>
        <w:t xml:space="preserve"> </w:t>
      </w:r>
      <w:r w:rsidR="002F51FA" w:rsidRPr="00DE185C">
        <w:rPr>
          <w:rFonts w:ascii="Calibri" w:hAnsi="Calibri"/>
        </w:rPr>
        <w:t>DOE Alternative Fuel Data Center</w:t>
      </w:r>
      <w:r w:rsidR="002F51FA">
        <w:rPr>
          <w:rFonts w:ascii="Calibri" w:hAnsi="Calibri"/>
        </w:rPr>
        <w:t xml:space="preserve"> </w:t>
      </w:r>
      <w:r w:rsidR="0015305E">
        <w:rPr>
          <w:rFonts w:ascii="Calibri" w:hAnsi="Calibri"/>
        </w:rPr>
        <w:t xml:space="preserve">(AFDC) </w:t>
      </w:r>
      <w:r w:rsidR="00FD4493">
        <w:rPr>
          <w:rFonts w:ascii="Calibri" w:hAnsi="Calibri"/>
        </w:rPr>
        <w:t>can</w:t>
      </w:r>
      <w:r w:rsidR="002F51FA">
        <w:rPr>
          <w:rFonts w:ascii="Calibri" w:hAnsi="Calibri"/>
        </w:rPr>
        <w:t xml:space="preserve"> increase local knowledge of </w:t>
      </w:r>
      <w:r w:rsidR="002461F8" w:rsidRPr="00DE185C">
        <w:rPr>
          <w:rFonts w:ascii="Calibri" w:hAnsi="Calibri"/>
        </w:rPr>
        <w:t>available alternative fuel stations</w:t>
      </w:r>
      <w:r w:rsidR="002F51FA">
        <w:rPr>
          <w:rFonts w:ascii="Calibri" w:hAnsi="Calibri"/>
        </w:rPr>
        <w:t>.</w:t>
      </w:r>
    </w:p>
    <w:p w:rsidR="00524127" w:rsidRPr="00DE185C" w:rsidRDefault="00524127" w:rsidP="00524127">
      <w:pPr>
        <w:rPr>
          <w:rFonts w:ascii="Calibri" w:hAnsi="Calibri"/>
        </w:rPr>
      </w:pPr>
      <w:r w:rsidRPr="001B3DF5">
        <w:rPr>
          <w:rFonts w:ascii="Calibri" w:hAnsi="Calibri"/>
        </w:rPr>
        <w:t>The AFDC</w:t>
      </w:r>
      <w:r w:rsidRPr="008F6536">
        <w:rPr>
          <w:rFonts w:ascii="Calibri" w:hAnsi="Calibri"/>
        </w:rPr>
        <w:t xml:space="preserve"> is an online clearinghouse of information on advanced tra</w:t>
      </w:r>
      <w:r w:rsidRPr="001B3DF5">
        <w:rPr>
          <w:rFonts w:ascii="Calibri" w:hAnsi="Calibri"/>
        </w:rPr>
        <w:t>nsportation technologies.</w:t>
      </w:r>
      <w:r w:rsidR="00A74442" w:rsidRPr="001B3DF5">
        <w:rPr>
          <w:rStyle w:val="FootnoteReference"/>
          <w:rFonts w:ascii="Calibri" w:hAnsi="Calibri"/>
        </w:rPr>
        <w:footnoteReference w:id="18"/>
      </w:r>
      <w:r w:rsidRPr="001B3DF5">
        <w:rPr>
          <w:rFonts w:ascii="Calibri" w:hAnsi="Calibri"/>
        </w:rPr>
        <w:t xml:space="preserve"> AFDC is</w:t>
      </w:r>
      <w:r w:rsidRPr="00DE185C">
        <w:rPr>
          <w:rFonts w:ascii="Calibri" w:hAnsi="Calibri"/>
        </w:rPr>
        <w:t xml:space="preserve"> sponsored by</w:t>
      </w:r>
      <w:r w:rsidR="008F247E" w:rsidRPr="00DE185C">
        <w:rPr>
          <w:rFonts w:ascii="Calibri" w:hAnsi="Calibri"/>
        </w:rPr>
        <w:t xml:space="preserve"> the</w:t>
      </w:r>
      <w:r w:rsidRPr="00DE185C">
        <w:rPr>
          <w:rFonts w:ascii="Calibri" w:hAnsi="Calibri"/>
        </w:rPr>
        <w:t xml:space="preserve"> DOE Clean Cities program and produced by the National Renewable Energy Laboratory (NREL). AFDC consists of resources and tools to help companies, fleets, </w:t>
      </w:r>
      <w:r w:rsidR="00FD4493">
        <w:rPr>
          <w:rFonts w:ascii="Calibri" w:hAnsi="Calibri"/>
        </w:rPr>
        <w:t xml:space="preserve">public </w:t>
      </w:r>
      <w:r w:rsidR="00D45592">
        <w:rPr>
          <w:rFonts w:ascii="Calibri" w:hAnsi="Calibri"/>
        </w:rPr>
        <w:t>agencies</w:t>
      </w:r>
      <w:r w:rsidR="00FD4493">
        <w:rPr>
          <w:rFonts w:ascii="Calibri" w:hAnsi="Calibri"/>
        </w:rPr>
        <w:t>,</w:t>
      </w:r>
      <w:r w:rsidR="00D45592">
        <w:rPr>
          <w:rFonts w:ascii="Calibri" w:hAnsi="Calibri"/>
        </w:rPr>
        <w:t xml:space="preserve"> </w:t>
      </w:r>
      <w:r w:rsidRPr="00DE185C">
        <w:rPr>
          <w:rFonts w:ascii="Calibri" w:hAnsi="Calibri"/>
        </w:rPr>
        <w:t xml:space="preserve">and consumers learn about and employ petroleum-reduction technologies and measures. </w:t>
      </w:r>
    </w:p>
    <w:p w:rsidR="007E5FED" w:rsidRPr="00DE185C" w:rsidRDefault="00524127">
      <w:pPr>
        <w:rPr>
          <w:rFonts w:ascii="Calibri" w:hAnsi="Calibri"/>
        </w:rPr>
      </w:pPr>
      <w:r w:rsidRPr="00DE185C">
        <w:rPr>
          <w:rFonts w:ascii="Calibri" w:hAnsi="Calibri"/>
        </w:rPr>
        <w:t>AFDC maintains a station locator tool which contains current public and private alternative fuel stations throughout the United States. Using data from the AFDC station locator, the following charts show the development of alternative fuel infrastructure within San Diego County from 1991 to 2014.</w:t>
      </w:r>
      <w:r w:rsidR="009426DA">
        <w:rPr>
          <w:rFonts w:ascii="Calibri" w:hAnsi="Calibri"/>
        </w:rPr>
        <w:t xml:space="preserve"> </w:t>
      </w:r>
    </w:p>
    <w:p w:rsidR="00EE0C47" w:rsidRPr="00DE185C" w:rsidRDefault="00EE0C47">
      <w:pPr>
        <w:rPr>
          <w:rFonts w:ascii="Calibri" w:hAnsi="Calibri"/>
        </w:rPr>
      </w:pPr>
    </w:p>
    <w:p w:rsidR="00EE0C47" w:rsidRPr="00DE185C" w:rsidRDefault="00EE0C47">
      <w:pPr>
        <w:rPr>
          <w:rFonts w:ascii="Calibri" w:hAnsi="Calibri"/>
        </w:rPr>
      </w:pPr>
    </w:p>
    <w:p w:rsidR="00A94F6A" w:rsidRDefault="00A94F6A">
      <w:pPr>
        <w:rPr>
          <w:rFonts w:ascii="Calibri" w:eastAsiaTheme="majorEastAsia" w:hAnsi="Calibri" w:cstheme="majorBidi"/>
          <w:b/>
          <w:iCs/>
          <w:spacing w:val="15"/>
          <w:sz w:val="24"/>
          <w:szCs w:val="24"/>
        </w:rPr>
      </w:pPr>
    </w:p>
    <w:p w:rsidR="008C52C1" w:rsidRDefault="008C52C1">
      <w:pPr>
        <w:rPr>
          <w:rFonts w:ascii="Calibri" w:eastAsiaTheme="majorEastAsia" w:hAnsi="Calibri" w:cstheme="majorBidi"/>
          <w:b/>
          <w:iCs/>
          <w:spacing w:val="15"/>
          <w:sz w:val="24"/>
          <w:szCs w:val="24"/>
        </w:rPr>
      </w:pPr>
    </w:p>
    <w:p w:rsidR="00524127" w:rsidRPr="00DE185C" w:rsidRDefault="00524127" w:rsidP="00524127">
      <w:pPr>
        <w:pStyle w:val="Subtitle"/>
      </w:pPr>
      <w:bookmarkStart w:id="42" w:name="_Toc416259276"/>
      <w:r w:rsidRPr="00DE185C">
        <w:t xml:space="preserve">Figure </w:t>
      </w:r>
      <w:r w:rsidR="00D95E1A" w:rsidRPr="00DE185C">
        <w:t>6</w:t>
      </w:r>
      <w:r w:rsidR="0073269A" w:rsidRPr="00DE185C">
        <w:t>-1</w:t>
      </w:r>
      <w:r w:rsidRPr="00DE185C">
        <w:t>: Pu</w:t>
      </w:r>
      <w:r w:rsidR="001215FB" w:rsidRPr="00DE185C">
        <w:t>blic Alternative Fuel Stations</w:t>
      </w:r>
      <w:r w:rsidR="001215FB" w:rsidRPr="00DE185C">
        <w:br/>
      </w:r>
      <w:r w:rsidRPr="00DE185C">
        <w:t>San Diego County, 1991-2014</w:t>
      </w:r>
      <w:bookmarkEnd w:id="42"/>
    </w:p>
    <w:p w:rsidR="00524127" w:rsidRPr="00DE185C" w:rsidRDefault="00524127" w:rsidP="00524127">
      <w:pPr>
        <w:rPr>
          <w:rFonts w:ascii="Calibri" w:hAnsi="Calibri"/>
          <w:sz w:val="18"/>
        </w:rPr>
      </w:pPr>
      <w:r w:rsidRPr="00DE185C">
        <w:rPr>
          <w:rFonts w:ascii="Calibri" w:hAnsi="Calibri"/>
          <w:noProof/>
          <w:lang w:eastAsia="zh-CN"/>
        </w:rPr>
        <w:drawing>
          <wp:inline distT="0" distB="0" distL="0" distR="0" wp14:anchorId="6D9A3EC1" wp14:editId="51665C49">
            <wp:extent cx="5826642" cy="2838893"/>
            <wp:effectExtent l="0" t="0" r="317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DE185C">
        <w:rPr>
          <w:rFonts w:ascii="Calibri" w:hAnsi="Calibri"/>
        </w:rPr>
        <w:br/>
      </w:r>
      <w:r w:rsidRPr="00DE185C">
        <w:rPr>
          <w:rFonts w:ascii="Calibri" w:hAnsi="Calibri"/>
          <w:sz w:val="18"/>
        </w:rPr>
        <w:t>Alternative Fuel Data Center. “Alternative Fueling Station Locator.” Last updated January 21, 2015. http://www.afdc.energy.gov/locator/stations/</w:t>
      </w:r>
    </w:p>
    <w:p w:rsidR="00EE0C47" w:rsidRPr="00DE185C" w:rsidRDefault="004E0845">
      <w:pPr>
        <w:rPr>
          <w:rFonts w:ascii="Calibri" w:hAnsi="Calibri"/>
        </w:rPr>
      </w:pPr>
      <w:r w:rsidRPr="00DE185C">
        <w:rPr>
          <w:rFonts w:ascii="Calibri" w:hAnsi="Calibri"/>
        </w:rPr>
        <w:t>To date, p</w:t>
      </w:r>
      <w:r w:rsidR="00524127" w:rsidRPr="00DE185C">
        <w:rPr>
          <w:rFonts w:ascii="Calibri" w:hAnsi="Calibri"/>
        </w:rPr>
        <w:t xml:space="preserve">ropane has about 15 public stations in the </w:t>
      </w:r>
      <w:r w:rsidR="00583B9A" w:rsidRPr="00DE185C">
        <w:rPr>
          <w:rFonts w:ascii="Calibri" w:hAnsi="Calibri"/>
        </w:rPr>
        <w:t xml:space="preserve">San Diego </w:t>
      </w:r>
      <w:r w:rsidR="00524127" w:rsidRPr="00DE185C">
        <w:rPr>
          <w:rFonts w:ascii="Calibri" w:hAnsi="Calibri"/>
        </w:rPr>
        <w:t xml:space="preserve">region, </w:t>
      </w:r>
      <w:r w:rsidR="00DF7F9C">
        <w:rPr>
          <w:rFonts w:ascii="Calibri" w:hAnsi="Calibri"/>
        </w:rPr>
        <w:t xml:space="preserve">CNG has </w:t>
      </w:r>
      <w:r w:rsidR="006073AA">
        <w:rPr>
          <w:rFonts w:ascii="Calibri" w:hAnsi="Calibri"/>
        </w:rPr>
        <w:t>8</w:t>
      </w:r>
      <w:r w:rsidR="00DF7F9C">
        <w:rPr>
          <w:rFonts w:ascii="Calibri" w:hAnsi="Calibri"/>
        </w:rPr>
        <w:t xml:space="preserve"> and </w:t>
      </w:r>
      <w:r w:rsidR="00524127" w:rsidRPr="00DE185C">
        <w:rPr>
          <w:rFonts w:ascii="Calibri" w:hAnsi="Calibri"/>
        </w:rPr>
        <w:t xml:space="preserve">biodiesel has three. </w:t>
      </w:r>
      <w:r w:rsidR="00DF7F9C">
        <w:rPr>
          <w:rFonts w:ascii="Calibri" w:hAnsi="Calibri"/>
        </w:rPr>
        <w:t xml:space="preserve">As a first market (or early market) for PEV deployment by major </w:t>
      </w:r>
      <w:r w:rsidR="006073AA">
        <w:rPr>
          <w:rFonts w:ascii="Calibri" w:hAnsi="Calibri"/>
        </w:rPr>
        <w:t>O</w:t>
      </w:r>
      <w:r w:rsidR="00B5419E">
        <w:rPr>
          <w:rFonts w:ascii="Calibri" w:hAnsi="Calibri"/>
        </w:rPr>
        <w:t>riginal</w:t>
      </w:r>
      <w:r w:rsidR="006073AA">
        <w:rPr>
          <w:rFonts w:ascii="Calibri" w:hAnsi="Calibri"/>
        </w:rPr>
        <w:t xml:space="preserve"> Equipment Manufacturers (</w:t>
      </w:r>
      <w:r w:rsidR="00DF7F9C">
        <w:rPr>
          <w:rFonts w:ascii="Calibri" w:hAnsi="Calibri"/>
        </w:rPr>
        <w:t>OEMs</w:t>
      </w:r>
      <w:r w:rsidR="006073AA">
        <w:rPr>
          <w:rFonts w:ascii="Calibri" w:hAnsi="Calibri"/>
        </w:rPr>
        <w:t>)</w:t>
      </w:r>
      <w:r w:rsidR="00DF7F9C">
        <w:rPr>
          <w:rFonts w:ascii="Calibri" w:hAnsi="Calibri"/>
        </w:rPr>
        <w:t xml:space="preserve"> in 2010, the region has </w:t>
      </w:r>
      <w:r w:rsidR="00B5419E">
        <w:rPr>
          <w:rFonts w:ascii="Calibri" w:hAnsi="Calibri"/>
        </w:rPr>
        <w:t xml:space="preserve">seen </w:t>
      </w:r>
      <w:r w:rsidR="00DF7F9C">
        <w:rPr>
          <w:rFonts w:ascii="Calibri" w:hAnsi="Calibri"/>
        </w:rPr>
        <w:t>steady growth in e</w:t>
      </w:r>
      <w:r w:rsidR="00524127" w:rsidRPr="00DE185C">
        <w:rPr>
          <w:rFonts w:ascii="Calibri" w:hAnsi="Calibri"/>
        </w:rPr>
        <w:t>lectric vehicle charging stations</w:t>
      </w:r>
      <w:r w:rsidR="00DF7F9C">
        <w:rPr>
          <w:rFonts w:ascii="Calibri" w:hAnsi="Calibri"/>
        </w:rPr>
        <w:t xml:space="preserve">. </w:t>
      </w:r>
      <w:r w:rsidR="00B120D1">
        <w:rPr>
          <w:rFonts w:ascii="Calibri" w:hAnsi="Calibri"/>
        </w:rPr>
        <w:t>As of April 2015, the region</w:t>
      </w:r>
      <w:r w:rsidR="00DF7F9C">
        <w:rPr>
          <w:rFonts w:ascii="Calibri" w:hAnsi="Calibri"/>
        </w:rPr>
        <w:t xml:space="preserve"> is home to</w:t>
      </w:r>
      <w:r w:rsidR="00524127" w:rsidRPr="00DE185C">
        <w:rPr>
          <w:rFonts w:ascii="Calibri" w:hAnsi="Calibri"/>
        </w:rPr>
        <w:t xml:space="preserve"> </w:t>
      </w:r>
      <w:r w:rsidR="00210A62">
        <w:rPr>
          <w:rFonts w:ascii="Calibri" w:hAnsi="Calibri"/>
        </w:rPr>
        <w:t>549</w:t>
      </w:r>
      <w:r w:rsidR="003A7EDC">
        <w:rPr>
          <w:rFonts w:ascii="Calibri" w:hAnsi="Calibri"/>
        </w:rPr>
        <w:t xml:space="preserve"> </w:t>
      </w:r>
      <w:r w:rsidR="00BF425B">
        <w:rPr>
          <w:rFonts w:ascii="Calibri" w:hAnsi="Calibri"/>
        </w:rPr>
        <w:t>public charging stations</w:t>
      </w:r>
      <w:r w:rsidR="007C326F" w:rsidRPr="00DE185C">
        <w:rPr>
          <w:rFonts w:ascii="Calibri" w:hAnsi="Calibri"/>
        </w:rPr>
        <w:t xml:space="preserve"> (Level 2 and DC Fast Charge, DCFC)</w:t>
      </w:r>
      <w:r w:rsidR="00DF7F9C">
        <w:rPr>
          <w:rFonts w:ascii="Calibri" w:hAnsi="Calibri"/>
        </w:rPr>
        <w:t xml:space="preserve"> and numbers continue to grow. </w:t>
      </w:r>
      <w:r w:rsidR="009426DA">
        <w:rPr>
          <w:rFonts w:ascii="Calibri" w:hAnsi="Calibri"/>
        </w:rPr>
        <w:t xml:space="preserve"> </w:t>
      </w:r>
    </w:p>
    <w:p w:rsidR="00D95E1A" w:rsidRPr="00DE185C" w:rsidRDefault="00EE0C47">
      <w:pPr>
        <w:rPr>
          <w:rFonts w:ascii="Calibri" w:hAnsi="Calibri"/>
        </w:rPr>
      </w:pPr>
      <w:r w:rsidRPr="00DE185C">
        <w:rPr>
          <w:rFonts w:ascii="Calibri" w:hAnsi="Calibri"/>
        </w:rPr>
        <w:br w:type="page"/>
      </w:r>
    </w:p>
    <w:p w:rsidR="00524127" w:rsidRPr="00DE185C" w:rsidRDefault="00475905" w:rsidP="007E5FED">
      <w:pPr>
        <w:pStyle w:val="Subtitle"/>
      </w:pPr>
      <w:bookmarkStart w:id="43" w:name="_Toc416259277"/>
      <w:r w:rsidRPr="00DE185C">
        <w:t>Figure 6</w:t>
      </w:r>
      <w:r w:rsidR="0073269A" w:rsidRPr="00DE185C">
        <w:t>-2</w:t>
      </w:r>
      <w:r w:rsidR="00524127" w:rsidRPr="00DE185C">
        <w:t xml:space="preserve">: San Diego County Public </w:t>
      </w:r>
      <w:r w:rsidR="00B44526">
        <w:t xml:space="preserve">Level 2 </w:t>
      </w:r>
      <w:r w:rsidR="00524127" w:rsidRPr="00DE185C">
        <w:t>Electric Vehicle Charging Stations</w:t>
      </w:r>
      <w:bookmarkEnd w:id="43"/>
    </w:p>
    <w:p w:rsidR="00524127" w:rsidRPr="00DE185C" w:rsidRDefault="00524127" w:rsidP="00524127">
      <w:pPr>
        <w:rPr>
          <w:rFonts w:ascii="Calibri" w:hAnsi="Calibri"/>
        </w:rPr>
      </w:pPr>
      <w:r w:rsidRPr="00DE185C">
        <w:rPr>
          <w:rFonts w:ascii="Calibri" w:hAnsi="Calibri"/>
          <w:noProof/>
          <w:lang w:eastAsia="zh-CN"/>
        </w:rPr>
        <w:drawing>
          <wp:inline distT="0" distB="0" distL="0" distR="0" wp14:anchorId="4A21B04D" wp14:editId="09755BFC">
            <wp:extent cx="5667375" cy="30670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DE185C">
        <w:rPr>
          <w:rFonts w:ascii="Calibri" w:hAnsi="Calibri"/>
          <w:sz w:val="18"/>
        </w:rPr>
        <w:t>Alternative Fuel Data Center. “Alternative Fueling Station Locator.” Last updated January 21, 2015. http://www.afdc.energy.gov/locator/stations/</w:t>
      </w:r>
      <w:r w:rsidRPr="00DE185C">
        <w:rPr>
          <w:rFonts w:ascii="Calibri" w:hAnsi="Calibri"/>
        </w:rPr>
        <w:br/>
      </w:r>
    </w:p>
    <w:p w:rsidR="00524127" w:rsidRPr="00DE185C" w:rsidRDefault="00524127" w:rsidP="00524127">
      <w:pPr>
        <w:pStyle w:val="Heading2"/>
        <w:rPr>
          <w:rFonts w:ascii="Calibri" w:hAnsi="Calibri"/>
        </w:rPr>
      </w:pPr>
      <w:bookmarkStart w:id="44" w:name="_Toc410636699"/>
      <w:bookmarkStart w:id="45" w:name="_Toc416259250"/>
      <w:r w:rsidRPr="00DE185C">
        <w:rPr>
          <w:rFonts w:ascii="Calibri" w:hAnsi="Calibri"/>
        </w:rPr>
        <w:t>Infrastructure Coverage</w:t>
      </w:r>
      <w:bookmarkEnd w:id="44"/>
      <w:bookmarkEnd w:id="45"/>
    </w:p>
    <w:p w:rsidR="00524127" w:rsidRPr="00DE185C" w:rsidRDefault="00524127" w:rsidP="00524127">
      <w:pPr>
        <w:rPr>
          <w:rFonts w:ascii="Calibri" w:hAnsi="Calibri"/>
        </w:rPr>
      </w:pPr>
      <w:r w:rsidRPr="00DE185C">
        <w:rPr>
          <w:rFonts w:ascii="Calibri" w:hAnsi="Calibri"/>
        </w:rPr>
        <w:t xml:space="preserve">Though a large number of alternative fuel stations is a positive indicator of greater alternative fuel use, these stations may be left unused if they are not strategically placed among residences and businesses. </w:t>
      </w:r>
    </w:p>
    <w:p w:rsidR="008C5E54" w:rsidRPr="00DE185C" w:rsidRDefault="00524127" w:rsidP="00524127">
      <w:pPr>
        <w:rPr>
          <w:rFonts w:ascii="Calibri" w:hAnsi="Calibri"/>
        </w:rPr>
      </w:pPr>
      <w:r w:rsidRPr="00DE185C">
        <w:rPr>
          <w:rFonts w:ascii="Calibri" w:hAnsi="Calibri"/>
        </w:rPr>
        <w:t>Through an analysis of the location</w:t>
      </w:r>
      <w:r w:rsidR="00873354" w:rsidRPr="00DE185C">
        <w:rPr>
          <w:rFonts w:ascii="Calibri" w:hAnsi="Calibri"/>
        </w:rPr>
        <w:t xml:space="preserve"> of</w:t>
      </w:r>
      <w:r w:rsidR="009426DA">
        <w:rPr>
          <w:rFonts w:ascii="Calibri" w:hAnsi="Calibri"/>
        </w:rPr>
        <w:t xml:space="preserve"> </w:t>
      </w:r>
      <w:r w:rsidRPr="00DE185C">
        <w:rPr>
          <w:rFonts w:ascii="Calibri" w:hAnsi="Calibri"/>
        </w:rPr>
        <w:t xml:space="preserve">alternative fuel infrastructure in San Diego County, SDRCCC was able to determine how many residences and businesses </w:t>
      </w:r>
      <w:r w:rsidR="006A6661">
        <w:rPr>
          <w:rFonts w:ascii="Calibri" w:hAnsi="Calibri"/>
        </w:rPr>
        <w:t>can be</w:t>
      </w:r>
      <w:r w:rsidR="006A6661" w:rsidRPr="00DE185C">
        <w:rPr>
          <w:rFonts w:ascii="Calibri" w:hAnsi="Calibri"/>
        </w:rPr>
        <w:t xml:space="preserve"> </w:t>
      </w:r>
      <w:r w:rsidR="00611F68" w:rsidRPr="00DE185C">
        <w:rPr>
          <w:rFonts w:ascii="Calibri" w:hAnsi="Calibri"/>
        </w:rPr>
        <w:t xml:space="preserve">served </w:t>
      </w:r>
      <w:r w:rsidRPr="00DE185C">
        <w:rPr>
          <w:rFonts w:ascii="Calibri" w:hAnsi="Calibri"/>
        </w:rPr>
        <w:t xml:space="preserve">by a given alternative fuel station. Table </w:t>
      </w:r>
      <w:r w:rsidR="006A6661">
        <w:rPr>
          <w:rFonts w:ascii="Calibri" w:hAnsi="Calibri"/>
        </w:rPr>
        <w:t>6-1</w:t>
      </w:r>
      <w:r w:rsidRPr="00DE185C">
        <w:rPr>
          <w:rFonts w:ascii="Calibri" w:hAnsi="Calibri"/>
        </w:rPr>
        <w:t xml:space="preserve"> </w:t>
      </w:r>
      <w:r w:rsidR="006A6661">
        <w:rPr>
          <w:rFonts w:ascii="Calibri" w:hAnsi="Calibri"/>
        </w:rPr>
        <w:t>shows</w:t>
      </w:r>
      <w:r w:rsidR="006A6661" w:rsidRPr="00DE185C">
        <w:rPr>
          <w:rFonts w:ascii="Calibri" w:hAnsi="Calibri"/>
        </w:rPr>
        <w:t xml:space="preserve"> </w:t>
      </w:r>
      <w:r w:rsidRPr="00DE185C">
        <w:rPr>
          <w:rFonts w:ascii="Calibri" w:hAnsi="Calibri"/>
        </w:rPr>
        <w:t>the</w:t>
      </w:r>
      <w:r w:rsidR="00C66687" w:rsidRPr="00DE185C">
        <w:rPr>
          <w:rFonts w:ascii="Calibri" w:hAnsi="Calibri"/>
        </w:rPr>
        <w:t xml:space="preserve"> percent</w:t>
      </w:r>
      <w:r w:rsidRPr="00DE185C">
        <w:rPr>
          <w:rFonts w:ascii="Calibri" w:hAnsi="Calibri"/>
        </w:rPr>
        <w:t>age of San Diego County residences and businesses</w:t>
      </w:r>
      <w:r w:rsidR="007C326F" w:rsidRPr="00DE185C">
        <w:rPr>
          <w:rFonts w:ascii="Calibri" w:hAnsi="Calibri"/>
        </w:rPr>
        <w:t xml:space="preserve"> that </w:t>
      </w:r>
      <w:r w:rsidRPr="00DE185C">
        <w:rPr>
          <w:rFonts w:ascii="Calibri" w:hAnsi="Calibri"/>
        </w:rPr>
        <w:t>are within a five mile radius of an alternative fuel station.</w:t>
      </w:r>
    </w:p>
    <w:p w:rsidR="008C5E54" w:rsidRPr="00DE185C" w:rsidRDefault="008C5E54">
      <w:pPr>
        <w:rPr>
          <w:rFonts w:ascii="Calibri" w:hAnsi="Calibri"/>
        </w:rPr>
      </w:pPr>
      <w:r w:rsidRPr="00DE185C">
        <w:rPr>
          <w:rFonts w:ascii="Calibri" w:hAnsi="Calibri"/>
        </w:rPr>
        <w:br w:type="page"/>
      </w:r>
    </w:p>
    <w:p w:rsidR="00524127" w:rsidRPr="00DE185C" w:rsidRDefault="00D95E1A" w:rsidP="00C768E1">
      <w:pPr>
        <w:pStyle w:val="Heading5"/>
        <w:rPr>
          <w:rStyle w:val="BookTitle"/>
          <w:rFonts w:ascii="Calibri" w:hAnsi="Calibri"/>
          <w:b/>
          <w:bCs w:val="0"/>
          <w:spacing w:val="0"/>
          <w:sz w:val="24"/>
        </w:rPr>
      </w:pPr>
      <w:bookmarkStart w:id="46" w:name="_Toc416259321"/>
      <w:r w:rsidRPr="00DE185C">
        <w:rPr>
          <w:rStyle w:val="BookTitle"/>
          <w:rFonts w:ascii="Calibri" w:hAnsi="Calibri"/>
          <w:b/>
          <w:bCs w:val="0"/>
          <w:spacing w:val="0"/>
          <w:sz w:val="24"/>
        </w:rPr>
        <w:t>Table 6</w:t>
      </w:r>
      <w:r w:rsidR="0073269A" w:rsidRPr="00DE185C">
        <w:rPr>
          <w:rStyle w:val="BookTitle"/>
          <w:rFonts w:ascii="Calibri" w:hAnsi="Calibri"/>
          <w:b/>
          <w:bCs w:val="0"/>
          <w:spacing w:val="0"/>
          <w:sz w:val="24"/>
        </w:rPr>
        <w:t>-1</w:t>
      </w:r>
      <w:r w:rsidR="00524127" w:rsidRPr="00DE185C">
        <w:rPr>
          <w:rStyle w:val="BookTitle"/>
          <w:rFonts w:ascii="Calibri" w:hAnsi="Calibri"/>
          <w:b/>
          <w:bCs w:val="0"/>
          <w:spacing w:val="0"/>
          <w:sz w:val="24"/>
        </w:rPr>
        <w:t>: Alternative Fuel Station Coverage</w:t>
      </w:r>
      <w:bookmarkEnd w:id="46"/>
    </w:p>
    <w:tbl>
      <w:tblPr>
        <w:tblW w:w="4320" w:type="dxa"/>
        <w:jc w:val="center"/>
        <w:tblInd w:w="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20"/>
        <w:gridCol w:w="1360"/>
        <w:gridCol w:w="1240"/>
      </w:tblGrid>
      <w:tr w:rsidR="002E1FA2" w:rsidRPr="00DE185C" w:rsidTr="008C5E54">
        <w:trPr>
          <w:trHeight w:val="600"/>
          <w:jc w:val="center"/>
        </w:trPr>
        <w:tc>
          <w:tcPr>
            <w:tcW w:w="1720" w:type="dxa"/>
            <w:shd w:val="clear" w:color="auto" w:fill="314B5A"/>
            <w:noWrap/>
            <w:vAlign w:val="bottom"/>
            <w:hideMark/>
          </w:tcPr>
          <w:p w:rsidR="00524127" w:rsidRPr="00DE185C" w:rsidRDefault="00524127" w:rsidP="002E1FA2">
            <w:pPr>
              <w:spacing w:after="0" w:line="240" w:lineRule="auto"/>
              <w:rPr>
                <w:rFonts w:ascii="Calibri" w:eastAsia="Times New Roman" w:hAnsi="Calibri" w:cs="Times New Roman"/>
                <w:color w:val="FFFFFF" w:themeColor="background1"/>
              </w:rPr>
            </w:pPr>
            <w:r w:rsidRPr="00DE185C">
              <w:rPr>
                <w:rFonts w:ascii="Calibri" w:eastAsia="Times New Roman" w:hAnsi="Calibri" w:cs="Times New Roman"/>
                <w:color w:val="FFFFFF" w:themeColor="background1"/>
              </w:rPr>
              <w:t> </w:t>
            </w:r>
          </w:p>
        </w:tc>
        <w:tc>
          <w:tcPr>
            <w:tcW w:w="1360" w:type="dxa"/>
            <w:shd w:val="clear" w:color="auto" w:fill="314B5A"/>
            <w:vAlign w:val="bottom"/>
            <w:hideMark/>
          </w:tcPr>
          <w:p w:rsidR="00524127" w:rsidRPr="00DE185C" w:rsidRDefault="00524127" w:rsidP="002E1FA2">
            <w:pPr>
              <w:spacing w:after="0" w:line="240" w:lineRule="auto"/>
              <w:rPr>
                <w:rFonts w:ascii="Calibri" w:eastAsia="Times New Roman" w:hAnsi="Calibri" w:cs="Times New Roman"/>
                <w:b/>
                <w:color w:val="FFFFFF" w:themeColor="background1"/>
              </w:rPr>
            </w:pPr>
            <w:r w:rsidRPr="00DE185C">
              <w:rPr>
                <w:rFonts w:ascii="Calibri" w:eastAsia="Times New Roman" w:hAnsi="Calibri" w:cs="Times New Roman"/>
                <w:b/>
                <w:color w:val="FFFFFF" w:themeColor="background1"/>
              </w:rPr>
              <w:t>All Residences</w:t>
            </w:r>
          </w:p>
        </w:tc>
        <w:tc>
          <w:tcPr>
            <w:tcW w:w="1240" w:type="dxa"/>
            <w:shd w:val="clear" w:color="auto" w:fill="314B5A"/>
            <w:vAlign w:val="bottom"/>
            <w:hideMark/>
          </w:tcPr>
          <w:p w:rsidR="00524127" w:rsidRPr="00DE185C" w:rsidRDefault="00524127" w:rsidP="002E1FA2">
            <w:pPr>
              <w:spacing w:after="0" w:line="240" w:lineRule="auto"/>
              <w:rPr>
                <w:rFonts w:ascii="Calibri" w:eastAsia="Times New Roman" w:hAnsi="Calibri" w:cs="Times New Roman"/>
                <w:b/>
                <w:color w:val="FFFFFF" w:themeColor="background1"/>
              </w:rPr>
            </w:pPr>
            <w:r w:rsidRPr="00DE185C">
              <w:rPr>
                <w:rFonts w:ascii="Calibri" w:eastAsia="Times New Roman" w:hAnsi="Calibri" w:cs="Times New Roman"/>
                <w:b/>
                <w:color w:val="FFFFFF" w:themeColor="background1"/>
              </w:rPr>
              <w:t>All Businesses</w:t>
            </w:r>
          </w:p>
        </w:tc>
      </w:tr>
      <w:tr w:rsidR="00524127" w:rsidRPr="00DE185C" w:rsidTr="00857F51">
        <w:trPr>
          <w:trHeight w:val="300"/>
          <w:jc w:val="center"/>
        </w:trPr>
        <w:tc>
          <w:tcPr>
            <w:tcW w:w="172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CNG</w:t>
            </w:r>
          </w:p>
        </w:tc>
        <w:tc>
          <w:tcPr>
            <w:tcW w:w="1360" w:type="dxa"/>
            <w:shd w:val="clear" w:color="auto" w:fill="B6DDE8" w:themeFill="accent5" w:themeFillTint="66"/>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47</w:t>
            </w:r>
            <w:r w:rsidR="005D6853">
              <w:rPr>
                <w:rFonts w:ascii="Calibri" w:eastAsia="Times New Roman" w:hAnsi="Calibri" w:cs="Times New Roman"/>
                <w:color w:val="000000"/>
              </w:rPr>
              <w:t xml:space="preserve"> percent</w:t>
            </w:r>
          </w:p>
        </w:tc>
        <w:tc>
          <w:tcPr>
            <w:tcW w:w="1240" w:type="dxa"/>
            <w:shd w:val="clear" w:color="auto" w:fill="B6DDE8" w:themeFill="accent5" w:themeFillTint="66"/>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57</w:t>
            </w:r>
            <w:r w:rsidR="005D6853">
              <w:rPr>
                <w:rFonts w:ascii="Calibri" w:eastAsia="Times New Roman" w:hAnsi="Calibri" w:cs="Times New Roman"/>
                <w:color w:val="000000"/>
              </w:rPr>
              <w:t xml:space="preserve"> percent</w:t>
            </w:r>
          </w:p>
        </w:tc>
      </w:tr>
      <w:tr w:rsidR="00524127" w:rsidRPr="00DE185C" w:rsidTr="00857F51">
        <w:trPr>
          <w:trHeight w:val="300"/>
          <w:jc w:val="center"/>
        </w:trPr>
        <w:tc>
          <w:tcPr>
            <w:tcW w:w="1720" w:type="dxa"/>
            <w:shd w:val="clear" w:color="auto" w:fill="DAEEF3" w:themeFill="accent5" w:themeFillTint="33"/>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Propane</w:t>
            </w:r>
          </w:p>
        </w:tc>
        <w:tc>
          <w:tcPr>
            <w:tcW w:w="1360" w:type="dxa"/>
            <w:shd w:val="clear" w:color="auto" w:fill="DAEEF3" w:themeFill="accent5" w:themeFillTint="33"/>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66</w:t>
            </w:r>
            <w:r w:rsidR="005D6853">
              <w:rPr>
                <w:rFonts w:ascii="Calibri" w:eastAsia="Times New Roman" w:hAnsi="Calibri" w:cs="Times New Roman"/>
                <w:color w:val="000000"/>
              </w:rPr>
              <w:t xml:space="preserve"> percent</w:t>
            </w:r>
          </w:p>
        </w:tc>
        <w:tc>
          <w:tcPr>
            <w:tcW w:w="1240" w:type="dxa"/>
            <w:shd w:val="clear" w:color="auto" w:fill="DAEEF3" w:themeFill="accent5" w:themeFillTint="33"/>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78</w:t>
            </w:r>
            <w:r w:rsidR="005D6853">
              <w:rPr>
                <w:rFonts w:ascii="Calibri" w:eastAsia="Times New Roman" w:hAnsi="Calibri" w:cs="Times New Roman"/>
                <w:color w:val="000000"/>
              </w:rPr>
              <w:t xml:space="preserve"> percent</w:t>
            </w:r>
          </w:p>
        </w:tc>
      </w:tr>
      <w:tr w:rsidR="00524127" w:rsidRPr="00DE185C" w:rsidTr="00857F51">
        <w:trPr>
          <w:trHeight w:val="300"/>
          <w:jc w:val="center"/>
        </w:trPr>
        <w:tc>
          <w:tcPr>
            <w:tcW w:w="172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Ethanol</w:t>
            </w:r>
          </w:p>
        </w:tc>
        <w:tc>
          <w:tcPr>
            <w:tcW w:w="1360" w:type="dxa"/>
            <w:shd w:val="clear" w:color="auto" w:fill="B6DDE8" w:themeFill="accent5" w:themeFillTint="66"/>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48</w:t>
            </w:r>
            <w:r w:rsidR="005D6853">
              <w:rPr>
                <w:rFonts w:ascii="Calibri" w:eastAsia="Times New Roman" w:hAnsi="Calibri" w:cs="Times New Roman"/>
                <w:color w:val="000000"/>
              </w:rPr>
              <w:t xml:space="preserve"> percent</w:t>
            </w:r>
          </w:p>
        </w:tc>
        <w:tc>
          <w:tcPr>
            <w:tcW w:w="1240" w:type="dxa"/>
            <w:shd w:val="clear" w:color="auto" w:fill="B6DDE8" w:themeFill="accent5" w:themeFillTint="66"/>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50</w:t>
            </w:r>
            <w:r w:rsidR="005D6853">
              <w:rPr>
                <w:rFonts w:ascii="Calibri" w:eastAsia="Times New Roman" w:hAnsi="Calibri" w:cs="Times New Roman"/>
                <w:color w:val="000000"/>
              </w:rPr>
              <w:t xml:space="preserve"> percent</w:t>
            </w:r>
          </w:p>
        </w:tc>
      </w:tr>
      <w:tr w:rsidR="00524127" w:rsidRPr="00DE185C" w:rsidTr="00857F51">
        <w:trPr>
          <w:trHeight w:val="300"/>
          <w:jc w:val="center"/>
        </w:trPr>
        <w:tc>
          <w:tcPr>
            <w:tcW w:w="1720" w:type="dxa"/>
            <w:shd w:val="clear" w:color="auto" w:fill="DAEEF3" w:themeFill="accent5" w:themeFillTint="33"/>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Biodiesel</w:t>
            </w:r>
          </w:p>
        </w:tc>
        <w:tc>
          <w:tcPr>
            <w:tcW w:w="1360" w:type="dxa"/>
            <w:shd w:val="clear" w:color="auto" w:fill="DAEEF3" w:themeFill="accent5" w:themeFillTint="33"/>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29</w:t>
            </w:r>
            <w:r w:rsidR="005D6853">
              <w:rPr>
                <w:rFonts w:ascii="Calibri" w:eastAsia="Times New Roman" w:hAnsi="Calibri" w:cs="Times New Roman"/>
                <w:color w:val="000000"/>
              </w:rPr>
              <w:t xml:space="preserve"> percent</w:t>
            </w:r>
          </w:p>
        </w:tc>
        <w:tc>
          <w:tcPr>
            <w:tcW w:w="1240" w:type="dxa"/>
            <w:shd w:val="clear" w:color="auto" w:fill="DAEEF3" w:themeFill="accent5" w:themeFillTint="33"/>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35</w:t>
            </w:r>
            <w:r w:rsidR="005D6853">
              <w:rPr>
                <w:rFonts w:ascii="Calibri" w:eastAsia="Times New Roman" w:hAnsi="Calibri" w:cs="Times New Roman"/>
                <w:color w:val="000000"/>
              </w:rPr>
              <w:t xml:space="preserve"> percent</w:t>
            </w:r>
          </w:p>
        </w:tc>
      </w:tr>
      <w:tr w:rsidR="00524127" w:rsidRPr="00DE185C" w:rsidTr="00857F51">
        <w:trPr>
          <w:trHeight w:val="300"/>
          <w:jc w:val="center"/>
        </w:trPr>
        <w:tc>
          <w:tcPr>
            <w:tcW w:w="172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Electric (DCFC)</w:t>
            </w:r>
          </w:p>
        </w:tc>
        <w:tc>
          <w:tcPr>
            <w:tcW w:w="1360" w:type="dxa"/>
            <w:shd w:val="clear" w:color="auto" w:fill="B6DDE8" w:themeFill="accent5" w:themeFillTint="66"/>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78</w:t>
            </w:r>
            <w:r w:rsidR="005D6853">
              <w:rPr>
                <w:rFonts w:ascii="Calibri" w:eastAsia="Times New Roman" w:hAnsi="Calibri" w:cs="Times New Roman"/>
                <w:color w:val="000000"/>
              </w:rPr>
              <w:t xml:space="preserve"> percent</w:t>
            </w:r>
          </w:p>
        </w:tc>
        <w:tc>
          <w:tcPr>
            <w:tcW w:w="1240" w:type="dxa"/>
            <w:shd w:val="clear" w:color="auto" w:fill="B6DDE8" w:themeFill="accent5" w:themeFillTint="66"/>
            <w:noWrap/>
            <w:vAlign w:val="bottom"/>
            <w:hideMark/>
          </w:tcPr>
          <w:p w:rsidR="00524127" w:rsidRPr="00DE185C" w:rsidRDefault="00524127" w:rsidP="002E1FA2">
            <w:pPr>
              <w:spacing w:after="0" w:line="240" w:lineRule="auto"/>
              <w:jc w:val="center"/>
              <w:rPr>
                <w:rFonts w:ascii="Calibri" w:eastAsia="Times New Roman" w:hAnsi="Calibri" w:cs="Times New Roman"/>
                <w:color w:val="000000"/>
              </w:rPr>
            </w:pPr>
            <w:r w:rsidRPr="00DE185C">
              <w:rPr>
                <w:rFonts w:ascii="Calibri" w:eastAsia="Times New Roman" w:hAnsi="Calibri" w:cs="Times New Roman"/>
                <w:color w:val="000000"/>
              </w:rPr>
              <w:t>88</w:t>
            </w:r>
            <w:r w:rsidR="005D6853">
              <w:rPr>
                <w:rFonts w:ascii="Calibri" w:eastAsia="Times New Roman" w:hAnsi="Calibri" w:cs="Times New Roman"/>
                <w:color w:val="000000"/>
              </w:rPr>
              <w:t xml:space="preserve"> percent</w:t>
            </w:r>
          </w:p>
        </w:tc>
      </w:tr>
    </w:tbl>
    <w:p w:rsidR="008C5E54" w:rsidRPr="00DE185C" w:rsidRDefault="008C5E54" w:rsidP="00524127">
      <w:pPr>
        <w:rPr>
          <w:rFonts w:ascii="Calibri" w:hAnsi="Calibri"/>
        </w:rPr>
      </w:pPr>
    </w:p>
    <w:p w:rsidR="00524127" w:rsidRPr="00DE185C" w:rsidRDefault="000E3580"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12000" behindDoc="0" locked="0" layoutInCell="1" allowOverlap="1" wp14:anchorId="76567623" wp14:editId="6DFF0144">
                <wp:simplePos x="0" y="0"/>
                <wp:positionH relativeFrom="column">
                  <wp:posOffset>3639820</wp:posOffset>
                </wp:positionH>
                <wp:positionV relativeFrom="paragraph">
                  <wp:posOffset>577850</wp:posOffset>
                </wp:positionV>
                <wp:extent cx="2314575" cy="2102485"/>
                <wp:effectExtent l="0" t="0" r="9525" b="0"/>
                <wp:wrapSquare wrapText="bothSides"/>
                <wp:docPr id="12" name="Group 12"/>
                <wp:cNvGraphicFramePr/>
                <a:graphic xmlns:a="http://schemas.openxmlformats.org/drawingml/2006/main">
                  <a:graphicData uri="http://schemas.microsoft.com/office/word/2010/wordprocessingGroup">
                    <wpg:wgp>
                      <wpg:cNvGrpSpPr/>
                      <wpg:grpSpPr>
                        <a:xfrm>
                          <a:off x="0" y="0"/>
                          <a:ext cx="2314575" cy="2102485"/>
                          <a:chOff x="0" y="0"/>
                          <a:chExt cx="3083442" cy="1765461"/>
                        </a:xfrm>
                      </wpg:grpSpPr>
                      <wps:wsp>
                        <wps:cNvPr id="13" name="Text Box 2"/>
                        <wps:cNvSpPr txBox="1">
                          <a:spLocks noChangeArrowheads="1"/>
                        </wps:cNvSpPr>
                        <wps:spPr bwMode="auto">
                          <a:xfrm>
                            <a:off x="116958" y="364828"/>
                            <a:ext cx="2966484" cy="1130622"/>
                          </a:xfrm>
                          <a:prstGeom prst="rect">
                            <a:avLst/>
                          </a:prstGeom>
                          <a:noFill/>
                          <a:ln w="9525">
                            <a:noFill/>
                            <a:miter lim="800000"/>
                            <a:headEnd/>
                            <a:tailEnd/>
                          </a:ln>
                        </wps:spPr>
                        <wps:txbx>
                          <w:txbxContent>
                            <w:p w:rsidR="006909BC" w:rsidRPr="006909BC" w:rsidRDefault="006909BC" w:rsidP="008C52C1">
                              <w:pPr>
                                <w:pStyle w:val="CVText"/>
                                <w:spacing w:line="240" w:lineRule="auto"/>
                                <w:ind w:right="360"/>
                                <w:jc w:val="center"/>
                                <w:rPr>
                                  <w:b/>
                                  <w:i/>
                                  <w:color w:val="005997"/>
                                </w:rPr>
                              </w:pPr>
                              <w:r w:rsidRPr="00DF3279">
                                <w:rPr>
                                  <w:rFonts w:asciiTheme="minorHAnsi" w:hAnsiTheme="minorHAnsi"/>
                                  <w:b/>
                                  <w:i/>
                                  <w:color w:val="005997"/>
                                  <w:sz w:val="28"/>
                                  <w:szCs w:val="28"/>
                                  <w:lang w:val="en-US"/>
                                </w:rPr>
                                <w:t>Coca-Cola will</w:t>
                              </w:r>
                              <w:r w:rsidRPr="00E77F83">
                                <w:rPr>
                                  <w:rFonts w:asciiTheme="minorHAnsi" w:hAnsiTheme="minorHAnsi"/>
                                  <w:b/>
                                  <w:i/>
                                  <w:color w:val="005997"/>
                                  <w:sz w:val="28"/>
                                  <w:szCs w:val="28"/>
                                  <w:lang w:val="en-US"/>
                                </w:rPr>
                                <w:t xml:space="preserve"> install electric vehicle charging stations across seven of its CA facilities in 2015</w:t>
                              </w:r>
                            </w:p>
                          </w:txbxContent>
                        </wps:txbx>
                        <wps:bodyPr rot="0" vert="horz" wrap="square" lIns="91440" tIns="45720" rIns="91440" bIns="45720" anchor="t" anchorCtr="0">
                          <a:noAutofit/>
                        </wps:bodyPr>
                      </wps:wsp>
                      <pic:pic xmlns:pic="http://schemas.openxmlformats.org/drawingml/2006/picture">
                        <pic:nvPicPr>
                          <pic:cNvPr id="14" name="Picture 8" descr="3mm_Frame_CV_19April2010-01_Top.png"/>
                          <pic:cNvPicPr>
                            <a:picLocks noChangeAspect="1"/>
                          </pic:cNvPicPr>
                        </pic:nvPicPr>
                        <pic:blipFill rotWithShape="1">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8" descr="3mm_Frame_CV_19April2010-01_Top.png"/>
                          <pic:cNvPicPr>
                            <a:picLocks noChangeAspect="1"/>
                          </pic:cNvPicPr>
                        </pic:nvPicPr>
                        <pic:blipFill rotWithShape="1">
                          <a:blip r:embed="rId24"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1318894"/>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12" o:spid="_x0000_s1039" style="position:absolute;margin-left:286.6pt;margin-top:45.5pt;width:182.25pt;height:165.55pt;z-index:251712000;mso-width-relative:margin;mso-height-relative:margin" coordsize="30834,1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wnoAyAQAANgOAAAOAAAAZHJzL2Uyb0RvYy54bWzsV99v2zYQfh+w/0HQ&#10;u2JJpiRbiFM4tlMUaNdgzbbHgKZoS6gkciQdORv2v++OlBzHDrAiLfaUAJH5QzzefffdR+ry3b6p&#10;vQeudCXamR9dhL7HWyaKqt3O/N/uboKJ72lD24LWouUz/5Fr/93Vzz9ddjLnsShFXXDlgZFW552c&#10;+aUxMh+NNCt5Q/WFkLyFyY1QDTXQVdtRoWgH1pt6FIdhOuqEKqQSjGsNo0s36V9Z+5sNZ+bzZqO5&#10;8eqZD74Z+1T2ucbn6OqS5ltFZVmx3g36Ci8aWrWw6cHUkhrq7VR1ZqqpmBJabMwFE81IbDYV4zYG&#10;iCYKT6J5r8RO2li2ebeVB5gA2hOcXm2W/fJwq7yqgNzFvtfSBnJkt/WgD+B0cpvDO++V/CJvVT+w&#10;dT2Md79RDf5CJN7ewvp4gJXvjcdgMB5HJMkS32MwF0dhTCaJA56VkJ2zdaxc9SvH4WRMCDiGK6Ms&#10;TUga4crRsPEI/Tu400kgkX7CSX8fTl9KKrmFXyMGA07jAac7DPBa7L0eKfsWwuSZPQyDx5YSWn4U&#10;7Kv2WrEoabvlc6VEV3JagHsuGvQbNsCliLjONRpZd59EAemgOyOsoROsoyidJlBeAM04JZN44jA9&#10;oD5NYZT02EXjMI2tnwfsaC6VNu+5aDxszHwF1WI3og8ftXEwD69gjltxU9U1jNO8br1u5k+TOLEL&#10;jmaaykBB11Uz8ych/jmvMN5VW9jFhla1a4MvdQvpHGJ20Zv9em8paVmCc2tRPAIiSrj6Bb2BRinU&#10;X77XQe3OfP3njirue/WHFlCdRoRgsdsOUC+GjjqeWR/P0JaBqZlvfM81F8YKhAt5DuhvKovGkye9&#10;y8C1q0tZsRz+++KE1hnp/lvEYJXZof9OCJtvstFQ9XUnA9ARSU21rurKPFpNhJSgU+3DbcWQUdg5&#10;4i9QwtU5TOOuHnCo4JpB0OOmub9RIAL3i9/vo+lcqqpGXQrC6P5OyAvZbjGdg0FnHnhUsROKawlc&#10;Guj9/PURdp/5tq4riczC/P5RmdLW3VA9ONnDAg6eyN4LyDpJXQq2a3hr3BmheA0IiVaXldRAhZw3&#10;a14A4T8UEdQHnE8G6gyCbR3/i50wcFohAexBxBe18h4oHCGUMbDqSK9LWnA3TJID0TU1ULZuOBoP&#10;40D0gyU0i2V1MNqVUDO9rB1tDYUMZYhvY0nbw+TveDIPw2l8HSyScBGQMFsF8ynJgixcZSQkk2gR&#10;Lf7BkoxIvtMcskLrpax6AGH0DMIXT47+jHVnkj3bXEC2mCEWcMiK8OAiDGGeLGCK/Qq5x/M2JkA1&#10;YEGQZFmGJQjNKAU1X898kqWpUwZtFDesRLlBZgxkcCz7JiEE0+eHDupdlGVO/ghJkzTrIR5kdJC2&#10;16gfRnoQvV7FLCxnGUtAmyFjaTCfL7OAkOUkuL6G1mKxmpJxlJJkdcgYMkp0n9eaQVkW3580xPSF&#10;ZCHMCGyPOHQd2NDo94TWGVFeqLWTqxis+v9ULH1TsScVwxvSm4qdXqt/jIoF6RTvEs9kLMt+kIq5&#10;K00U9lcllJVnN+loHE0mU+KUEo8BvE+PwyRKUFvxVvwmbU7irPDaE+RU2uw3Anw+WTHsP/Xw++y4&#10;D+3jD9Krf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MqEmMTi&#10;AAAACgEAAA8AAABkcnMvZG93bnJldi54bWxMj8FOwzAQRO9I/IO1SNyo44SSNsSpqgo4VZVokSpu&#10;brxNosZ2FLtJ+vcsJziu9mnmTb6aTMsG7H3jrAQxi4ChLZ1ubCXh6/D+tADmg7Jatc6ihBt6WBX3&#10;d7nKtBvtJw77UDEKsT5TEuoQuoxzX9ZolJ+5Di39zq43KtDZV1z3aqRw0/I4il64UY2lhlp1uKmx&#10;vOyvRsLHqMZ1It6G7eW8uX0f5rvjVqCUjw/T+hVYwCn8wfCrT+pQkNPJXa32rJUwT5OYUAlLQZsI&#10;WCZpCuwk4TmOBfAi5/8nFD8AAAD//wMAUEsDBAoAAAAAAAAAIQAWpFLw+AEAAPgBAAAUAAAAZHJz&#10;L21lZGlhL2ltYWdlMS5wbmeJUE5HDQoaCgAAAA1JSERSAAAC4gAAAEYIAgAAAAaTZrkAAAABc1JH&#10;QgCuzhzpAAAABGdBTUEAALGPC/xhBQAAAAlwSFlzAAAh1QAAIdUBBJy0nQAAAY1JREFUeF7t1iFu&#10;hGAURtHufyHdEw6BxJGaSYCO+CeZpIoJTa44xzz1Pn2/vgEAMrZtO19kCgAQIlMAgCiZAgBEyRQA&#10;IEqmAABRMgUAiJIpAECUTAEAomQKABAlUwCAKJkCAETJFAAgSqYAAFEyBQCIkikAQJRMAQCiZAoA&#10;ECVTAIAomQIARMkUACBKpgAAUTIFAIi6J1OmafoBAPhjWZaRC9fdkynzPI8NAIA367qOXLhOpgAA&#10;/0imAABRMgUAiJIpAECUTAEAomQKABAlUwCAKJkCAETJFAAgSqYAAFEyBQCIkikAQJRMAQCiZAoA&#10;ECVTAIAomQIARMkUACBKpgAAUTIFAIiSKQBAlEwBAKJkCgAQJVMAgCiZAgBEyRQAIEqmAABRMgUA&#10;iJIpAECUTAEAomQKABAlUwCAKJkCAETJFAAgSqYAAFEyBQCIkikAQJRMAQCiZAoAECVTAICo2zLl&#10;8al938cGAMCb4zhGLlz3/B0rz0wZFwAgRqYAAFEyBQCIkikAQJRMAQCSzvMX2AWQWYiJVzcAAAAA&#10;SUVORK5CYIJQSwMECgAAAAAAAAAhABdtOJTyAQAA8gEAABQAAABkcnMvbWVkaWEvaW1hZ2UyLnBu&#10;Z4lQTkcNChoKAAAADUlIRFIAAALeAAAARggCAAAAdFwEDwAAAAFzUkdCAK7OHOkAAAAEZ0FNQQAA&#10;sY8L/GEFAAAACXBIWXMAACHVAAAh1QEEnLSdAAABh0lEQVR4Xu3WMWrDUAAFQd//IL6XSjUCFUGQ&#10;Qj8QfsCtgsALnmle9+p9PAEA3mrf9/FHmgAAbyZNAIAQaQIAhEgTACBEmgAAIdIEAAiRJgBAiDQB&#10;AEKkCQAQIk0AgBBpAgCESBMAIESaAAAh0gQACJEmAECINAEAQqQJABAiTQCAEGkCAIRIEwAgRJoA&#10;ACHSBAAIuSdNlmX5AgD4tW3bTITr7kmTdV3nBwDw8Y7jmIlwnTQBAG4mTQCAEGkCAIRIEwAgRJoA&#10;ACHSBAAIkSYAQIg0AQBCpAkAECJNAIAQaQIAhEgTACBEmgAAIdIEAAiRJgBAiDQBAEKkCQAQIk0A&#10;gBBpAgCESBMAIESaAAAh0gQACJEmAECINAEAQqQJABAiTQCAEGkCAIRIEwAgRJoAACHSBAAIkSYA&#10;QIg0AQBCpAkAECJNAIAQaQIAhEgTACBEmgAAIdIEAAiRJgBAyG1p8v1f53nODwCAMWYiXPcaFY+5&#10;AAAB0gQACJEmAECINAEAQqQJAJAxxg8KhLP8j/DWVwAAAABJRU5ErkJgglBLAQItABQABgAIAAAA&#10;IQCxgme2CgEAABMCAAATAAAAAAAAAAAAAAAAAAAAAABbQ29udGVudF9UeXBlc10ueG1sUEsBAi0A&#10;FAAGAAgAAAAhADj9If/WAAAAlAEAAAsAAAAAAAAAAAAAAAAAOwEAAF9yZWxzLy5yZWxzUEsBAi0A&#10;FAAGAAgAAAAhAG3CegDIBAAA2A4AAA4AAAAAAAAAAAAAAAAAOgIAAGRycy9lMm9Eb2MueG1sUEsB&#10;Ai0AFAAGAAgAAAAhAC5s8ADFAAAApQEAABkAAAAAAAAAAAAAAAAALgcAAGRycy9fcmVscy9lMm9E&#10;b2MueG1sLnJlbHNQSwECLQAUAAYACAAAACEAyoSYxOIAAAAKAQAADwAAAAAAAAAAAAAAAAAqCAAA&#10;ZHJzL2Rvd25yZXYueG1sUEsBAi0ACgAAAAAAAAAhABakUvD4AQAA+AEAABQAAAAAAAAAAAAAAAAA&#10;OQkAAGRycy9tZWRpYS9pbWFnZTEucG5nUEsBAi0ACgAAAAAAAAAhABdtOJTyAQAA8gEAABQAAAAA&#10;AAAAAAAAAAAAYwsAAGRycy9tZWRpYS9pbWFnZTIucG5nUEsFBgAAAAAHAAcAvgEAAIcNAAAAAA==&#10;">
                <v:shape id="_x0000_s1040" type="#_x0000_t202" style="position:absolute;left:1169;top:3648;width:29665;height:1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6909BC" w:rsidRPr="006909BC" w:rsidRDefault="006909BC" w:rsidP="008C52C1">
                        <w:pPr>
                          <w:pStyle w:val="CVText"/>
                          <w:spacing w:line="240" w:lineRule="auto"/>
                          <w:ind w:right="360"/>
                          <w:jc w:val="center"/>
                          <w:rPr>
                            <w:b/>
                            <w:i/>
                            <w:color w:val="005997"/>
                          </w:rPr>
                        </w:pPr>
                        <w:r w:rsidRPr="00DF3279">
                          <w:rPr>
                            <w:rFonts w:asciiTheme="minorHAnsi" w:hAnsiTheme="minorHAnsi"/>
                            <w:b/>
                            <w:i/>
                            <w:color w:val="005997"/>
                            <w:sz w:val="28"/>
                            <w:szCs w:val="28"/>
                            <w:lang w:val="en-US"/>
                          </w:rPr>
                          <w:t>Coca-Cola will</w:t>
                        </w:r>
                        <w:r w:rsidRPr="00E77F83">
                          <w:rPr>
                            <w:rFonts w:asciiTheme="minorHAnsi" w:hAnsiTheme="minorHAnsi"/>
                            <w:b/>
                            <w:i/>
                            <w:color w:val="005997"/>
                            <w:sz w:val="28"/>
                            <w:szCs w:val="28"/>
                            <w:lang w:val="en-US"/>
                          </w:rPr>
                          <w:t xml:space="preserve"> install electric vehicle charging stations across seven of its CA facilities in 2015</w:t>
                        </w:r>
                      </w:p>
                    </w:txbxContent>
                  </v:textbox>
                </v:shape>
                <v:shape id="Picture 8" o:spid="_x0000_s1041"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m2bDCAAAA2wAAAA8AAABkcnMvZG93bnJldi54bWxET0uLwjAQvgv7H8II3myqiEjXKIusoHjw&#10;sQvrcWxm22IzqU3U6q83guBtPr7njKeNKcWFaldYVtCLYhDEqdUFZwp+f+bdEQjnkTWWlknBjRxM&#10;Jx+tMSbaXnlLl53PRAhhl6CC3PsqkdKlORl0ka2IA/dva4M+wDqTusZrCDel7MfxUBosODTkWNEs&#10;p/S4OxsFq2x/pt56OTtR/+97M9+uTnd3UKrTbr4+QXhq/Fv8ci90mD+A5y/hAD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5tmwwgAAANsAAAAPAAAAAAAAAAAAAAAAAJ8C&#10;AABkcnMvZG93bnJldi54bWxQSwUGAAAAAAQABAD3AAAAjgMAAAAA&#10;">
                  <v:imagedata r:id="rId25" o:title="3mm_Frame_CV_19April2010-01_Top" croptop="-37860f" cropbottom="3123f" cropleft="160f" cropright="-106f" recolortarget="#1d4f5c [1448]"/>
                  <v:path arrowok="t"/>
                </v:shape>
                <v:shape id="Picture 8" o:spid="_x0000_s1042" type="#_x0000_t75" alt="3mm_Frame_CV_19April2010-01_Top.png" style="position:absolute;top:13188;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kpGC+AAAA2wAAAA8AAABkcnMvZG93bnJldi54bWxET02LwjAQvS/4H8II3tZUhSJdo4gieBJW&#10;Zc9DM7alzaQm0VZ/vVkQvM3jfc5i1ZtG3Mn5yrKCyTgBQZxbXXGh4Hzafc9B+ICssbFMCh7kYbUc&#10;fC0w07bjX7ofQyFiCPsMFZQhtJmUPi/JoB/bljhyF+sMhghdIbXDLoabRk6TJJUGK44NJba0KSmv&#10;jzejwM3r62OfH/62M03d07R1SjJRajTs1z8gAvXhI3679zrOT+H/l3iAX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XkpGC+AAAA2wAAAA8AAAAAAAAAAAAAAAAAnwIAAGRy&#10;cy9kb3ducmV2LnhtbFBLBQYAAAAABAAEAPcAAACKAwAAAAA=&#10;">
                  <v:imagedata r:id="rId26" o:title="3mm_Frame_CV_19April2010-01_Top" croptop="-37860f" cropbottom="3123f" cropleft="-452f" cropright="506f" recolortarget="#1d4f5c [1448]"/>
                  <v:path arrowok="t"/>
                </v:shape>
                <w10:wrap type="square"/>
              </v:group>
            </w:pict>
          </mc:Fallback>
        </mc:AlternateContent>
      </w:r>
      <w:r w:rsidR="00524127" w:rsidRPr="00DE185C">
        <w:rPr>
          <w:rFonts w:ascii="Calibri" w:hAnsi="Calibri"/>
        </w:rPr>
        <w:t xml:space="preserve"> </w:t>
      </w:r>
      <w:r w:rsidR="00226ED3">
        <w:rPr>
          <w:rFonts w:ascii="Calibri" w:hAnsi="Calibri"/>
        </w:rPr>
        <w:t xml:space="preserve">As seen in Table 6-1, </w:t>
      </w:r>
      <w:r w:rsidR="00524127" w:rsidRPr="00DE185C">
        <w:rPr>
          <w:rFonts w:ascii="Calibri" w:hAnsi="Calibri"/>
        </w:rPr>
        <w:t xml:space="preserve">San Diego County’s network of DCFC stations are accessible to the highest percentage of residences and businesses in the region. Seventy-eight </w:t>
      </w:r>
      <w:r w:rsidR="00C66687" w:rsidRPr="00DE185C">
        <w:rPr>
          <w:rFonts w:ascii="Calibri" w:hAnsi="Calibri"/>
        </w:rPr>
        <w:t>percent</w:t>
      </w:r>
      <w:r w:rsidR="00524127" w:rsidRPr="00DE185C">
        <w:rPr>
          <w:rFonts w:ascii="Calibri" w:hAnsi="Calibri"/>
        </w:rPr>
        <w:t xml:space="preserve"> of the </w:t>
      </w:r>
      <w:r w:rsidR="00DD1342" w:rsidRPr="00DE185C">
        <w:rPr>
          <w:rFonts w:ascii="Calibri" w:hAnsi="Calibri"/>
        </w:rPr>
        <w:t>c</w:t>
      </w:r>
      <w:r w:rsidR="00524127" w:rsidRPr="00DE185C">
        <w:rPr>
          <w:rFonts w:ascii="Calibri" w:hAnsi="Calibri"/>
        </w:rPr>
        <w:t>ounty’s residences and 88</w:t>
      </w:r>
      <w:r w:rsidR="005D6853">
        <w:rPr>
          <w:rFonts w:ascii="Calibri" w:hAnsi="Calibri"/>
        </w:rPr>
        <w:t xml:space="preserve"> percent</w:t>
      </w:r>
      <w:r w:rsidR="00524127" w:rsidRPr="00DE185C">
        <w:rPr>
          <w:rFonts w:ascii="Calibri" w:hAnsi="Calibri"/>
        </w:rPr>
        <w:t xml:space="preserve"> of the </w:t>
      </w:r>
      <w:r w:rsidR="00C8755B" w:rsidRPr="00DE185C">
        <w:rPr>
          <w:rFonts w:ascii="Calibri" w:hAnsi="Calibri"/>
        </w:rPr>
        <w:t xml:space="preserve">region’s </w:t>
      </w:r>
      <w:r w:rsidR="00524127" w:rsidRPr="00DE185C">
        <w:rPr>
          <w:rFonts w:ascii="Calibri" w:hAnsi="Calibri"/>
        </w:rPr>
        <w:t xml:space="preserve">businesses are located within five miles of </w:t>
      </w:r>
      <w:r w:rsidR="0024355F" w:rsidRPr="00DE185C">
        <w:rPr>
          <w:rFonts w:ascii="Calibri" w:hAnsi="Calibri"/>
        </w:rPr>
        <w:t xml:space="preserve">a </w:t>
      </w:r>
      <w:r w:rsidR="00524127" w:rsidRPr="00DE185C">
        <w:rPr>
          <w:rFonts w:ascii="Calibri" w:hAnsi="Calibri"/>
        </w:rPr>
        <w:t>DCFC station. The region’s propane stations are also accessible to a large portion of residences and businesses</w:t>
      </w:r>
      <w:r w:rsidR="008D028C">
        <w:rPr>
          <w:rFonts w:ascii="Calibri" w:hAnsi="Calibri"/>
        </w:rPr>
        <w:t>,</w:t>
      </w:r>
      <w:r w:rsidR="00524127" w:rsidRPr="00DE185C">
        <w:rPr>
          <w:rFonts w:ascii="Calibri" w:hAnsi="Calibri"/>
        </w:rPr>
        <w:t xml:space="preserve"> 66</w:t>
      </w:r>
      <w:r w:rsidR="005D6853">
        <w:rPr>
          <w:rFonts w:ascii="Calibri" w:hAnsi="Calibri"/>
        </w:rPr>
        <w:t xml:space="preserve"> percent</w:t>
      </w:r>
      <w:r w:rsidR="00226ED3">
        <w:rPr>
          <w:rFonts w:ascii="Calibri" w:hAnsi="Calibri"/>
        </w:rPr>
        <w:t xml:space="preserve"> and 78 percent respectively</w:t>
      </w:r>
      <w:r w:rsidR="008D028C">
        <w:rPr>
          <w:rFonts w:ascii="Calibri" w:hAnsi="Calibri"/>
        </w:rPr>
        <w:t xml:space="preserve">. </w:t>
      </w:r>
      <w:r w:rsidR="00524127" w:rsidRPr="00DE185C">
        <w:rPr>
          <w:rFonts w:ascii="Calibri" w:hAnsi="Calibri"/>
        </w:rPr>
        <w:t>Biodiesel stations cover the lowest percentage of the region’s residences and businesses at 29</w:t>
      </w:r>
      <w:r w:rsidR="005D6853">
        <w:rPr>
          <w:rFonts w:ascii="Calibri" w:hAnsi="Calibri"/>
        </w:rPr>
        <w:t xml:space="preserve"> percent</w:t>
      </w:r>
      <w:r w:rsidR="00524127" w:rsidRPr="00DE185C">
        <w:rPr>
          <w:rFonts w:ascii="Calibri" w:hAnsi="Calibri"/>
        </w:rPr>
        <w:t xml:space="preserve"> and 35</w:t>
      </w:r>
      <w:r w:rsidR="005D6853">
        <w:rPr>
          <w:rFonts w:ascii="Calibri" w:hAnsi="Calibri"/>
        </w:rPr>
        <w:t xml:space="preserve"> percent</w:t>
      </w:r>
      <w:r w:rsidR="00524127" w:rsidRPr="00DE185C">
        <w:rPr>
          <w:rFonts w:ascii="Calibri" w:hAnsi="Calibri"/>
        </w:rPr>
        <w:t xml:space="preserve">, respectively. </w:t>
      </w:r>
    </w:p>
    <w:p w:rsidR="00BB39A5" w:rsidRPr="00DE185C" w:rsidRDefault="00BF425B" w:rsidP="00524127">
      <w:pPr>
        <w:rPr>
          <w:rFonts w:ascii="Calibri" w:hAnsi="Calibri"/>
        </w:rPr>
      </w:pPr>
      <w:r>
        <w:rPr>
          <w:rFonts w:ascii="Calibri" w:hAnsi="Calibri"/>
        </w:rPr>
        <w:t xml:space="preserve">According to the Energy Commission, </w:t>
      </w:r>
      <w:r w:rsidR="00BB39A5">
        <w:rPr>
          <w:rFonts w:ascii="Calibri" w:hAnsi="Calibri"/>
        </w:rPr>
        <w:t xml:space="preserve">the San Diego region </w:t>
      </w:r>
      <w:r>
        <w:rPr>
          <w:rFonts w:ascii="Calibri" w:hAnsi="Calibri"/>
        </w:rPr>
        <w:t>would need</w:t>
      </w:r>
      <w:r w:rsidR="00BB39A5">
        <w:rPr>
          <w:rFonts w:ascii="Calibri" w:hAnsi="Calibri"/>
        </w:rPr>
        <w:t xml:space="preserve"> to host up to 4,200 public Level 2, 190 public Level 1, and 138 public DC fast charging charge points</w:t>
      </w:r>
      <w:r w:rsidR="00B531ED">
        <w:rPr>
          <w:rFonts w:ascii="Calibri" w:hAnsi="Calibri"/>
        </w:rPr>
        <w:t xml:space="preserve"> in order to support California’s 2025 1.5 million ZEV goal</w:t>
      </w:r>
      <w:r w:rsidR="00BB39A5">
        <w:rPr>
          <w:rFonts w:ascii="Calibri" w:hAnsi="Calibri"/>
        </w:rPr>
        <w:t>.</w:t>
      </w:r>
      <w:r w:rsidR="00BB39A5">
        <w:rPr>
          <w:rStyle w:val="FootnoteReference"/>
          <w:rFonts w:ascii="Calibri" w:hAnsi="Calibri"/>
        </w:rPr>
        <w:footnoteReference w:id="19"/>
      </w:r>
      <w:r w:rsidR="00BB39A5">
        <w:rPr>
          <w:rFonts w:ascii="Calibri" w:hAnsi="Calibri"/>
          <w:vertAlign w:val="superscript"/>
        </w:rPr>
        <w:t>,</w:t>
      </w:r>
      <w:r w:rsidR="00BB39A5">
        <w:rPr>
          <w:rStyle w:val="FootnoteReference"/>
          <w:rFonts w:ascii="Calibri" w:hAnsi="Calibri"/>
        </w:rPr>
        <w:footnoteReference w:id="20"/>
      </w:r>
      <w:r w:rsidR="00BB39A5">
        <w:rPr>
          <w:rFonts w:ascii="Calibri" w:hAnsi="Calibri"/>
          <w:vertAlign w:val="superscript"/>
        </w:rPr>
        <w:t xml:space="preserve"> </w:t>
      </w:r>
      <w:r w:rsidR="00BB39A5">
        <w:rPr>
          <w:rFonts w:ascii="Calibri" w:hAnsi="Calibri"/>
        </w:rPr>
        <w:t xml:space="preserve">Currently, there are a little over 500 public charging </w:t>
      </w:r>
      <w:r w:rsidR="00B120D1">
        <w:rPr>
          <w:rFonts w:ascii="Calibri" w:hAnsi="Calibri"/>
        </w:rPr>
        <w:t>points</w:t>
      </w:r>
      <w:r w:rsidR="00BB39A5">
        <w:rPr>
          <w:rFonts w:ascii="Calibri" w:hAnsi="Calibri"/>
        </w:rPr>
        <w:t xml:space="preserve"> in the region, highlighting the continued support needed to increase the deployment of charging stations throughout the region.</w:t>
      </w:r>
    </w:p>
    <w:p w:rsidR="00524127" w:rsidRPr="00DE185C" w:rsidRDefault="00873354" w:rsidP="00524127">
      <w:pPr>
        <w:rPr>
          <w:rFonts w:ascii="Calibri" w:hAnsi="Calibri"/>
        </w:rPr>
      </w:pPr>
      <w:r w:rsidRPr="00DE185C">
        <w:rPr>
          <w:rFonts w:ascii="Calibri" w:hAnsi="Calibri"/>
        </w:rPr>
        <w:t xml:space="preserve">The </w:t>
      </w:r>
      <w:r w:rsidR="00226ED3">
        <w:rPr>
          <w:rFonts w:ascii="Calibri" w:hAnsi="Calibri"/>
        </w:rPr>
        <w:t xml:space="preserve">number of </w:t>
      </w:r>
      <w:r w:rsidR="00524127" w:rsidRPr="00DE185C">
        <w:rPr>
          <w:rFonts w:ascii="Calibri" w:hAnsi="Calibri"/>
        </w:rPr>
        <w:t xml:space="preserve">CNG </w:t>
      </w:r>
      <w:r w:rsidR="00226ED3">
        <w:rPr>
          <w:rFonts w:ascii="Calibri" w:hAnsi="Calibri"/>
        </w:rPr>
        <w:t xml:space="preserve">refueling stations necessary to support associated vehicles </w:t>
      </w:r>
      <w:r w:rsidR="00750218">
        <w:rPr>
          <w:rFonts w:ascii="Calibri" w:hAnsi="Calibri"/>
        </w:rPr>
        <w:t xml:space="preserve">is </w:t>
      </w:r>
      <w:r w:rsidR="00524127" w:rsidRPr="00DE185C">
        <w:rPr>
          <w:rFonts w:ascii="Calibri" w:hAnsi="Calibri"/>
        </w:rPr>
        <w:t xml:space="preserve">equivalent to 10 </w:t>
      </w:r>
      <w:r w:rsidR="00D51905">
        <w:rPr>
          <w:rFonts w:ascii="Calibri" w:hAnsi="Calibri"/>
        </w:rPr>
        <w:t>-</w:t>
      </w:r>
      <w:r w:rsidR="00D51905" w:rsidRPr="00DE185C">
        <w:rPr>
          <w:rFonts w:ascii="Calibri" w:hAnsi="Calibri"/>
        </w:rPr>
        <w:t xml:space="preserve"> </w:t>
      </w:r>
      <w:r w:rsidR="00524127" w:rsidRPr="00DE185C">
        <w:rPr>
          <w:rFonts w:ascii="Calibri" w:hAnsi="Calibri"/>
        </w:rPr>
        <w:t>20</w:t>
      </w:r>
      <w:r w:rsidR="005D6853">
        <w:rPr>
          <w:rFonts w:ascii="Calibri" w:hAnsi="Calibri"/>
        </w:rPr>
        <w:t xml:space="preserve"> percent</w:t>
      </w:r>
      <w:r w:rsidR="00524127" w:rsidRPr="00DE185C">
        <w:rPr>
          <w:rFonts w:ascii="Calibri" w:hAnsi="Calibri"/>
        </w:rPr>
        <w:t xml:space="preserve"> of traditional retail gasoline stations.</w:t>
      </w:r>
      <w:r w:rsidR="00524127" w:rsidRPr="00DE185C">
        <w:rPr>
          <w:rStyle w:val="FootnoteReference"/>
          <w:rFonts w:ascii="Calibri" w:hAnsi="Calibri"/>
        </w:rPr>
        <w:footnoteReference w:id="21"/>
      </w:r>
      <w:r w:rsidR="00524127" w:rsidRPr="00DE185C">
        <w:rPr>
          <w:rFonts w:ascii="Calibri" w:hAnsi="Calibri"/>
        </w:rPr>
        <w:t xml:space="preserve"> There are approximately 1,000 </w:t>
      </w:r>
      <w:r w:rsidR="00750218">
        <w:rPr>
          <w:rFonts w:ascii="Calibri" w:hAnsi="Calibri"/>
        </w:rPr>
        <w:t xml:space="preserve">traditional </w:t>
      </w:r>
      <w:r w:rsidR="00524127" w:rsidRPr="00DE185C">
        <w:rPr>
          <w:rFonts w:ascii="Calibri" w:hAnsi="Calibri"/>
        </w:rPr>
        <w:t xml:space="preserve">gas stations in the </w:t>
      </w:r>
      <w:r w:rsidR="00ED5299" w:rsidRPr="00DE185C">
        <w:rPr>
          <w:rFonts w:ascii="Calibri" w:hAnsi="Calibri"/>
        </w:rPr>
        <w:t>region</w:t>
      </w:r>
      <w:r w:rsidR="00524127" w:rsidRPr="00DE185C">
        <w:rPr>
          <w:rFonts w:ascii="Calibri" w:hAnsi="Calibri"/>
        </w:rPr>
        <w:t xml:space="preserve">, with </w:t>
      </w:r>
      <w:r w:rsidR="00C8755B" w:rsidRPr="00DE185C">
        <w:rPr>
          <w:rFonts w:ascii="Calibri" w:hAnsi="Calibri"/>
        </w:rPr>
        <w:t>approximately ten</w:t>
      </w:r>
      <w:r w:rsidR="00524127" w:rsidRPr="00DE185C">
        <w:rPr>
          <w:rFonts w:ascii="Calibri" w:hAnsi="Calibri"/>
        </w:rPr>
        <w:t xml:space="preserve"> CNG fueling stations. </w:t>
      </w:r>
    </w:p>
    <w:p w:rsidR="00524127" w:rsidRPr="00DE185C" w:rsidRDefault="00D95E1A" w:rsidP="00524127">
      <w:pPr>
        <w:pStyle w:val="Heading1"/>
        <w:rPr>
          <w:rFonts w:ascii="Calibri" w:hAnsi="Calibri"/>
        </w:rPr>
      </w:pPr>
      <w:bookmarkStart w:id="47" w:name="_Toc410636700"/>
      <w:bookmarkStart w:id="48" w:name="_Toc416259251"/>
      <w:r w:rsidRPr="00DE185C">
        <w:rPr>
          <w:rFonts w:ascii="Calibri" w:hAnsi="Calibri"/>
        </w:rPr>
        <w:t>7</w:t>
      </w:r>
      <w:r w:rsidR="0073269A" w:rsidRPr="00DE185C">
        <w:rPr>
          <w:rFonts w:ascii="Calibri" w:hAnsi="Calibri"/>
        </w:rPr>
        <w:t xml:space="preserve">. </w:t>
      </w:r>
      <w:r w:rsidR="00524127" w:rsidRPr="00DE185C">
        <w:rPr>
          <w:rFonts w:ascii="Calibri" w:hAnsi="Calibri"/>
        </w:rPr>
        <w:t>Vehicles</w:t>
      </w:r>
      <w:bookmarkEnd w:id="47"/>
      <w:bookmarkEnd w:id="48"/>
    </w:p>
    <w:p w:rsidR="007C326F" w:rsidRPr="00DE185C" w:rsidRDefault="00524127" w:rsidP="00524127">
      <w:pPr>
        <w:rPr>
          <w:rFonts w:ascii="Calibri" w:hAnsi="Calibri"/>
        </w:rPr>
      </w:pPr>
      <w:r w:rsidRPr="00DE185C">
        <w:rPr>
          <w:rFonts w:ascii="Calibri" w:hAnsi="Calibri"/>
        </w:rPr>
        <w:t>In 2014, there were close to 2.3 million light-duty vehicles in San Diego County and nearly 60,000 heavy-duty vehicles</w:t>
      </w:r>
      <w:r w:rsidR="00210A62">
        <w:rPr>
          <w:rFonts w:ascii="Calibri" w:hAnsi="Calibri"/>
        </w:rPr>
        <w:t>.</w:t>
      </w:r>
      <w:r w:rsidRPr="00DE185C">
        <w:rPr>
          <w:rFonts w:ascii="Calibri" w:hAnsi="Calibri"/>
        </w:rPr>
        <w:t>.</w:t>
      </w:r>
      <w:r w:rsidRPr="00DE185C">
        <w:rPr>
          <w:rStyle w:val="FootnoteReference"/>
          <w:rFonts w:ascii="Calibri" w:hAnsi="Calibri"/>
        </w:rPr>
        <w:t xml:space="preserve"> </w:t>
      </w:r>
      <w:r w:rsidRPr="00DE185C">
        <w:rPr>
          <w:rStyle w:val="FootnoteReference"/>
          <w:rFonts w:ascii="Calibri" w:hAnsi="Calibri"/>
        </w:rPr>
        <w:footnoteReference w:id="22"/>
      </w:r>
      <w:r w:rsidR="008C5E54" w:rsidRPr="00DE185C">
        <w:rPr>
          <w:rFonts w:ascii="Calibri" w:hAnsi="Calibri"/>
        </w:rPr>
        <w:t xml:space="preserve"> </w:t>
      </w:r>
      <w:r w:rsidRPr="00DE185C">
        <w:rPr>
          <w:rFonts w:ascii="Calibri" w:hAnsi="Calibri"/>
        </w:rPr>
        <w:t xml:space="preserve">Statewide, there were 26 million light-, medium-, and heavy-duty vehicles. The </w:t>
      </w:r>
      <w:r w:rsidR="00873354" w:rsidRPr="00DE185C">
        <w:rPr>
          <w:rFonts w:ascii="Calibri" w:hAnsi="Calibri"/>
        </w:rPr>
        <w:t xml:space="preserve">region </w:t>
      </w:r>
      <w:r w:rsidR="00C66687" w:rsidRPr="00DE185C">
        <w:rPr>
          <w:rFonts w:ascii="Calibri" w:hAnsi="Calibri"/>
        </w:rPr>
        <w:t>accounts for nearly 9</w:t>
      </w:r>
      <w:r w:rsidR="005D6853">
        <w:rPr>
          <w:rFonts w:ascii="Calibri" w:hAnsi="Calibri"/>
        </w:rPr>
        <w:t xml:space="preserve"> percent</w:t>
      </w:r>
      <w:r w:rsidRPr="00DE185C">
        <w:rPr>
          <w:rFonts w:ascii="Calibri" w:hAnsi="Calibri"/>
        </w:rPr>
        <w:t xml:space="preserve"> of the state’s total vehicle population.</w:t>
      </w:r>
      <w:r w:rsidR="00847CBA" w:rsidRPr="00DE185C" w:rsidDel="00847CBA">
        <w:rPr>
          <w:rFonts w:ascii="Calibri" w:hAnsi="Calibri"/>
        </w:rPr>
        <w:t xml:space="preserve"> </w:t>
      </w:r>
      <w:r w:rsidR="0088768C">
        <w:rPr>
          <w:rFonts w:ascii="Calibri" w:hAnsi="Calibri"/>
        </w:rPr>
        <w:t>The number of vehicles</w:t>
      </w:r>
      <w:r w:rsidR="00210A62">
        <w:rPr>
          <w:rFonts w:ascii="Calibri" w:hAnsi="Calibri"/>
        </w:rPr>
        <w:t xml:space="preserve"> in the region</w:t>
      </w:r>
      <w:r w:rsidR="0088768C">
        <w:rPr>
          <w:rFonts w:ascii="Calibri" w:hAnsi="Calibri"/>
        </w:rPr>
        <w:t xml:space="preserve"> is growing at </w:t>
      </w:r>
      <w:r w:rsidR="00210A62">
        <w:rPr>
          <w:rFonts w:ascii="Calibri" w:hAnsi="Calibri"/>
        </w:rPr>
        <w:t>rate of approximately one percent per year.</w:t>
      </w:r>
      <w:r w:rsidR="0088768C">
        <w:rPr>
          <w:rFonts w:ascii="Calibri" w:hAnsi="Calibri"/>
        </w:rPr>
        <w:t xml:space="preserve"> </w:t>
      </w:r>
    </w:p>
    <w:p w:rsidR="004A7DE1" w:rsidRDefault="00524127">
      <w:pPr>
        <w:rPr>
          <w:rFonts w:ascii="Calibri" w:hAnsi="Calibri"/>
        </w:rPr>
      </w:pPr>
      <w:r w:rsidRPr="00DE185C">
        <w:rPr>
          <w:rFonts w:ascii="Calibri" w:hAnsi="Calibri"/>
        </w:rPr>
        <w:t xml:space="preserve">The following </w:t>
      </w:r>
      <w:r w:rsidR="00E016B9">
        <w:rPr>
          <w:rFonts w:ascii="Calibri" w:hAnsi="Calibri"/>
        </w:rPr>
        <w:t>figures show</w:t>
      </w:r>
      <w:r w:rsidRPr="00DE185C">
        <w:rPr>
          <w:rFonts w:ascii="Calibri" w:hAnsi="Calibri"/>
        </w:rPr>
        <w:t xml:space="preserve"> the San Diego region</w:t>
      </w:r>
      <w:r w:rsidR="00E016B9">
        <w:rPr>
          <w:rFonts w:ascii="Calibri" w:hAnsi="Calibri"/>
        </w:rPr>
        <w:t>al</w:t>
      </w:r>
      <w:r w:rsidRPr="00DE185C">
        <w:rPr>
          <w:rFonts w:ascii="Calibri" w:hAnsi="Calibri"/>
        </w:rPr>
        <w:t xml:space="preserve"> alternative fuel trends in comparison to the State as a whole.</w:t>
      </w:r>
      <w:r w:rsidR="009426DA">
        <w:rPr>
          <w:rFonts w:ascii="Calibri" w:hAnsi="Calibri"/>
        </w:rPr>
        <w:t xml:space="preserve"> </w:t>
      </w:r>
      <w:r w:rsidR="001776C2" w:rsidRPr="00DE185C">
        <w:rPr>
          <w:rFonts w:ascii="Calibri" w:hAnsi="Calibri"/>
        </w:rPr>
        <w:t>F</w:t>
      </w:r>
      <w:r w:rsidRPr="00DE185C">
        <w:rPr>
          <w:rFonts w:ascii="Calibri" w:hAnsi="Calibri"/>
        </w:rPr>
        <w:t xml:space="preserve">igure </w:t>
      </w:r>
      <w:r w:rsidR="00D95E1A" w:rsidRPr="00DE185C">
        <w:rPr>
          <w:rFonts w:ascii="Calibri" w:hAnsi="Calibri"/>
        </w:rPr>
        <w:t>7</w:t>
      </w:r>
      <w:r w:rsidR="006C18DE" w:rsidRPr="00DE185C">
        <w:rPr>
          <w:rFonts w:ascii="Calibri" w:hAnsi="Calibri"/>
        </w:rPr>
        <w:t>-</w:t>
      </w:r>
      <w:r w:rsidR="003A7EDC">
        <w:rPr>
          <w:rFonts w:ascii="Calibri" w:hAnsi="Calibri"/>
        </w:rPr>
        <w:t>1</w:t>
      </w:r>
      <w:r w:rsidR="001776C2" w:rsidRPr="00DE185C">
        <w:rPr>
          <w:rFonts w:ascii="Calibri" w:hAnsi="Calibri"/>
        </w:rPr>
        <w:t xml:space="preserve"> </w:t>
      </w:r>
      <w:r w:rsidRPr="00DE185C">
        <w:rPr>
          <w:rFonts w:ascii="Calibri" w:hAnsi="Calibri"/>
        </w:rPr>
        <w:t>shows the growth of light-duty alternative fuel vehicle</w:t>
      </w:r>
      <w:r w:rsidR="00E016B9">
        <w:rPr>
          <w:rFonts w:ascii="Calibri" w:hAnsi="Calibri"/>
        </w:rPr>
        <w:t>s</w:t>
      </w:r>
      <w:r w:rsidRPr="00DE185C">
        <w:rPr>
          <w:rFonts w:ascii="Calibri" w:hAnsi="Calibri"/>
        </w:rPr>
        <w:t xml:space="preserve"> from 2000 to 2012. </w:t>
      </w:r>
      <w:r w:rsidR="00E016B9">
        <w:rPr>
          <w:rFonts w:ascii="Calibri" w:hAnsi="Calibri"/>
        </w:rPr>
        <w:t xml:space="preserve"> The data shows that</w:t>
      </w:r>
      <w:r w:rsidRPr="00DE185C">
        <w:rPr>
          <w:rFonts w:ascii="Calibri" w:hAnsi="Calibri"/>
        </w:rPr>
        <w:t xml:space="preserve"> flex fuel, conventional hybrids, and diesel vehicles have been the most widely adopted alternative fuels in the state. </w:t>
      </w:r>
      <w:r w:rsidR="00847CBA">
        <w:rPr>
          <w:rFonts w:ascii="Calibri" w:hAnsi="Calibri"/>
        </w:rPr>
        <w:t xml:space="preserve">The </w:t>
      </w:r>
      <w:r w:rsidR="00847CBA" w:rsidRPr="00DE185C">
        <w:rPr>
          <w:rFonts w:ascii="Calibri" w:hAnsi="Calibri"/>
        </w:rPr>
        <w:t xml:space="preserve">San Diego </w:t>
      </w:r>
      <w:r w:rsidR="00847CBA">
        <w:rPr>
          <w:rFonts w:ascii="Calibri" w:hAnsi="Calibri"/>
        </w:rPr>
        <w:t xml:space="preserve">region </w:t>
      </w:r>
      <w:r w:rsidR="00847CBA" w:rsidRPr="00DE185C">
        <w:rPr>
          <w:rFonts w:ascii="Calibri" w:hAnsi="Calibri"/>
        </w:rPr>
        <w:t xml:space="preserve">has experienced </w:t>
      </w:r>
      <w:r w:rsidR="00847CBA">
        <w:rPr>
          <w:rFonts w:ascii="Calibri" w:hAnsi="Calibri"/>
        </w:rPr>
        <w:t>similar trends.</w:t>
      </w:r>
    </w:p>
    <w:p w:rsidR="003A7EDC" w:rsidRDefault="003A7EDC">
      <w:pPr>
        <w:rPr>
          <w:rFonts w:ascii="Calibri" w:hAnsi="Calibri"/>
        </w:rPr>
      </w:pPr>
    </w:p>
    <w:p w:rsidR="003A7EDC" w:rsidRDefault="003A7EDC">
      <w:pPr>
        <w:rPr>
          <w:rFonts w:ascii="Calibri" w:hAnsi="Calibri"/>
        </w:rPr>
      </w:pPr>
    </w:p>
    <w:p w:rsidR="003A7EDC" w:rsidRDefault="003A7EDC">
      <w:pPr>
        <w:rPr>
          <w:rFonts w:ascii="Calibri" w:hAnsi="Calibri"/>
        </w:rPr>
      </w:pPr>
    </w:p>
    <w:p w:rsidR="003A7EDC" w:rsidRDefault="003A7EDC">
      <w:pPr>
        <w:rPr>
          <w:rFonts w:ascii="Calibri" w:hAnsi="Calibri"/>
        </w:rPr>
      </w:pPr>
    </w:p>
    <w:p w:rsidR="003A7EDC" w:rsidRDefault="003A7EDC">
      <w:pPr>
        <w:rPr>
          <w:rFonts w:ascii="Calibri" w:hAnsi="Calibri"/>
        </w:rPr>
      </w:pPr>
    </w:p>
    <w:p w:rsidR="003A7EDC" w:rsidRDefault="003A7EDC">
      <w:pPr>
        <w:rPr>
          <w:rFonts w:ascii="Calibri" w:hAnsi="Calibri"/>
        </w:rPr>
      </w:pPr>
    </w:p>
    <w:p w:rsidR="003A7EDC" w:rsidRDefault="003A7EDC">
      <w:pPr>
        <w:rPr>
          <w:rFonts w:ascii="Calibri" w:hAnsi="Calibri"/>
        </w:rPr>
      </w:pPr>
    </w:p>
    <w:p w:rsidR="003A7EDC" w:rsidRPr="00DE185C" w:rsidRDefault="003A7EDC">
      <w:pPr>
        <w:rPr>
          <w:rFonts w:ascii="Calibri" w:eastAsiaTheme="majorEastAsia" w:hAnsi="Calibri" w:cstheme="majorBidi"/>
          <w:b/>
          <w:iCs/>
          <w:spacing w:val="15"/>
          <w:sz w:val="24"/>
          <w:szCs w:val="24"/>
        </w:rPr>
      </w:pPr>
    </w:p>
    <w:p w:rsidR="00524127" w:rsidRPr="00DE185C" w:rsidRDefault="00524127" w:rsidP="007E5FED">
      <w:pPr>
        <w:pStyle w:val="Subtitle"/>
      </w:pPr>
      <w:bookmarkStart w:id="49" w:name="_Toc416259278"/>
      <w:r w:rsidRPr="00DE185C">
        <w:t xml:space="preserve">Figure </w:t>
      </w:r>
      <w:r w:rsidR="00D95E1A" w:rsidRPr="00DE185C">
        <w:t>7</w:t>
      </w:r>
      <w:r w:rsidR="0073269A" w:rsidRPr="00DE185C">
        <w:t>-</w:t>
      </w:r>
      <w:r w:rsidR="00210A62">
        <w:t>1</w:t>
      </w:r>
      <w:r w:rsidRPr="00DE185C">
        <w:t>: Light-Duty Registered Altern</w:t>
      </w:r>
      <w:r w:rsidR="001215FB" w:rsidRPr="00DE185C">
        <w:t>ative Fuel Vehicle Populations</w:t>
      </w:r>
      <w:r w:rsidR="001215FB" w:rsidRPr="00DE185C">
        <w:br/>
      </w:r>
      <w:r w:rsidRPr="00DE185C">
        <w:t>California, 2000-2012</w:t>
      </w:r>
      <w:bookmarkEnd w:id="49"/>
    </w:p>
    <w:p w:rsidR="00524127" w:rsidRPr="00DE185C" w:rsidRDefault="00524127" w:rsidP="007D1651">
      <w:pPr>
        <w:rPr>
          <w:rFonts w:ascii="Calibri" w:hAnsi="Calibri"/>
          <w:sz w:val="18"/>
          <w:szCs w:val="20"/>
        </w:rPr>
      </w:pPr>
      <w:r w:rsidRPr="00DE185C">
        <w:rPr>
          <w:rFonts w:ascii="Calibri" w:hAnsi="Calibri"/>
          <w:noProof/>
          <w:lang w:eastAsia="zh-CN"/>
        </w:rPr>
        <w:drawing>
          <wp:inline distT="0" distB="0" distL="0" distR="0" wp14:anchorId="68764CF7" wp14:editId="1D739F56">
            <wp:extent cx="5879805" cy="3519377"/>
            <wp:effectExtent l="0" t="0" r="6985" b="508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DE185C">
        <w:rPr>
          <w:rFonts w:ascii="Calibri" w:hAnsi="Calibri"/>
          <w:sz w:val="18"/>
          <w:szCs w:val="20"/>
        </w:rPr>
        <w:t>Eggers, Ryan. “Trends in Transportation Energy Consumption</w:t>
      </w:r>
      <w:r w:rsidRPr="00DE185C">
        <w:rPr>
          <w:rFonts w:ascii="Calibri" w:hAnsi="Calibri"/>
          <w:i/>
          <w:sz w:val="18"/>
          <w:szCs w:val="20"/>
        </w:rPr>
        <w:t>.</w:t>
      </w:r>
      <w:r w:rsidRPr="00DE185C">
        <w:rPr>
          <w:rFonts w:ascii="Calibri" w:hAnsi="Calibri"/>
          <w:sz w:val="18"/>
          <w:szCs w:val="20"/>
        </w:rPr>
        <w:t>” Presentation, California Energy Commission, Sacramento, CA</w:t>
      </w:r>
      <w:r w:rsidRPr="00DE185C">
        <w:rPr>
          <w:rFonts w:ascii="Calibri" w:hAnsi="Calibri"/>
          <w:i/>
          <w:sz w:val="18"/>
          <w:szCs w:val="20"/>
        </w:rPr>
        <w:t xml:space="preserve">, </w:t>
      </w:r>
      <w:r w:rsidRPr="00DE185C">
        <w:rPr>
          <w:rFonts w:ascii="Calibri" w:hAnsi="Calibri"/>
          <w:sz w:val="18"/>
          <w:szCs w:val="20"/>
        </w:rPr>
        <w:t xml:space="preserve">September 9, 2011. &amp; </w:t>
      </w:r>
      <w:proofErr w:type="spellStart"/>
      <w:r w:rsidRPr="00DE185C">
        <w:rPr>
          <w:rFonts w:ascii="Calibri" w:hAnsi="Calibri"/>
          <w:sz w:val="18"/>
          <w:szCs w:val="20"/>
        </w:rPr>
        <w:t>Yowell</w:t>
      </w:r>
      <w:proofErr w:type="spellEnd"/>
      <w:r w:rsidRPr="00DE185C">
        <w:rPr>
          <w:rFonts w:ascii="Calibri" w:hAnsi="Calibri"/>
          <w:sz w:val="18"/>
          <w:szCs w:val="20"/>
        </w:rPr>
        <w:t>, Gary. “Historical Trends and Petroleum Reduction Technologies Performance.” Presentation, California Energy Commission, Sacramento, CA, August 21, 2013</w:t>
      </w:r>
    </w:p>
    <w:p w:rsidR="00524127" w:rsidRPr="00DE185C" w:rsidRDefault="00524127" w:rsidP="00524127">
      <w:pPr>
        <w:rPr>
          <w:rFonts w:ascii="Calibri" w:hAnsi="Calibri"/>
        </w:rPr>
      </w:pPr>
      <w:r w:rsidRPr="00DE185C">
        <w:rPr>
          <w:rFonts w:ascii="Calibri" w:hAnsi="Calibri"/>
        </w:rPr>
        <w:t xml:space="preserve"> From 2010 to 2014, the region’s light-duty alternative fuel vehicle market was predominantly led by sales of flex fuel, hybrids, and diesel. Approximately 80</w:t>
      </w:r>
      <w:r w:rsidR="005D6853">
        <w:rPr>
          <w:rFonts w:ascii="Calibri" w:hAnsi="Calibri"/>
        </w:rPr>
        <w:t xml:space="preserve"> percent</w:t>
      </w:r>
      <w:r w:rsidRPr="00DE185C">
        <w:rPr>
          <w:rFonts w:ascii="Calibri" w:hAnsi="Calibri"/>
        </w:rPr>
        <w:t xml:space="preserve"> of the region’s new light-duty ve</w:t>
      </w:r>
      <w:r w:rsidR="008C5E54" w:rsidRPr="00DE185C">
        <w:rPr>
          <w:rFonts w:ascii="Calibri" w:hAnsi="Calibri"/>
        </w:rPr>
        <w:t xml:space="preserve">hicle sales continue to be for </w:t>
      </w:r>
      <w:r w:rsidRPr="00DE185C">
        <w:rPr>
          <w:rFonts w:ascii="Calibri" w:hAnsi="Calibri"/>
        </w:rPr>
        <w:t xml:space="preserve">traditional gasoline vehicles. </w:t>
      </w:r>
    </w:p>
    <w:p w:rsidR="00524127" w:rsidRPr="00DE185C" w:rsidRDefault="00524127" w:rsidP="00524127">
      <w:pPr>
        <w:rPr>
          <w:rFonts w:ascii="Calibri" w:hAnsi="Calibri"/>
        </w:rPr>
      </w:pPr>
    </w:p>
    <w:p w:rsidR="00524127" w:rsidRPr="00DE185C" w:rsidRDefault="00524127" w:rsidP="00524127">
      <w:pPr>
        <w:rPr>
          <w:rFonts w:ascii="Calibri" w:hAnsi="Calibri"/>
        </w:rPr>
      </w:pPr>
    </w:p>
    <w:p w:rsidR="00D95E1A" w:rsidRPr="00DE185C" w:rsidRDefault="00D95E1A" w:rsidP="00524127">
      <w:pPr>
        <w:rPr>
          <w:rFonts w:ascii="Calibri" w:hAnsi="Calibri"/>
        </w:rPr>
      </w:pPr>
    </w:p>
    <w:p w:rsidR="00524127" w:rsidRPr="00DE185C" w:rsidRDefault="00524127" w:rsidP="00524127">
      <w:pPr>
        <w:rPr>
          <w:rFonts w:ascii="Calibri" w:hAnsi="Calibri"/>
        </w:rPr>
      </w:pPr>
    </w:p>
    <w:p w:rsidR="007D1651" w:rsidRPr="00DE185C" w:rsidRDefault="007D1651" w:rsidP="00524127">
      <w:pPr>
        <w:rPr>
          <w:rFonts w:ascii="Calibri" w:hAnsi="Calibri"/>
        </w:rPr>
      </w:pPr>
    </w:p>
    <w:p w:rsidR="004A7DE1" w:rsidRPr="00DE185C" w:rsidRDefault="004A7DE1">
      <w:pPr>
        <w:rPr>
          <w:rFonts w:ascii="Calibri" w:eastAsiaTheme="majorEastAsia" w:hAnsi="Calibri" w:cstheme="majorBidi"/>
          <w:b/>
          <w:iCs/>
          <w:spacing w:val="15"/>
          <w:sz w:val="24"/>
          <w:szCs w:val="24"/>
        </w:rPr>
      </w:pPr>
      <w:r w:rsidRPr="00DE185C">
        <w:rPr>
          <w:rFonts w:ascii="Calibri" w:hAnsi="Calibri"/>
        </w:rPr>
        <w:br w:type="page"/>
      </w:r>
    </w:p>
    <w:p w:rsidR="00524127" w:rsidRPr="00DE185C" w:rsidRDefault="00524127" w:rsidP="007E5FED">
      <w:pPr>
        <w:pStyle w:val="Subtitle"/>
      </w:pPr>
      <w:bookmarkStart w:id="50" w:name="_Toc416259279"/>
      <w:r w:rsidRPr="00DE185C">
        <w:t xml:space="preserve">Figure </w:t>
      </w:r>
      <w:r w:rsidR="00D95E1A" w:rsidRPr="00DE185C">
        <w:t>7</w:t>
      </w:r>
      <w:r w:rsidR="0073269A" w:rsidRPr="00DE185C">
        <w:t>-</w:t>
      </w:r>
      <w:r w:rsidR="00210A62">
        <w:t>2</w:t>
      </w:r>
      <w:r w:rsidRPr="00DE185C">
        <w:t>: New Alternative</w:t>
      </w:r>
      <w:r w:rsidR="001215FB" w:rsidRPr="00DE185C">
        <w:t xml:space="preserve"> Fuel Light-Duty Vehicle Sales</w:t>
      </w:r>
      <w:r w:rsidR="001215FB" w:rsidRPr="00DE185C">
        <w:br/>
      </w:r>
      <w:r w:rsidRPr="00DE185C">
        <w:t>San Diego County, 2010-2014</w:t>
      </w:r>
      <w:bookmarkEnd w:id="50"/>
    </w:p>
    <w:p w:rsidR="00524127" w:rsidRPr="00DE185C" w:rsidRDefault="00524127" w:rsidP="00524127">
      <w:pPr>
        <w:rPr>
          <w:rFonts w:ascii="Calibri" w:hAnsi="Calibri"/>
          <w:sz w:val="20"/>
        </w:rPr>
      </w:pPr>
      <w:r w:rsidRPr="00DE185C">
        <w:rPr>
          <w:rFonts w:ascii="Calibri" w:hAnsi="Calibri"/>
          <w:noProof/>
          <w:lang w:eastAsia="zh-CN"/>
        </w:rPr>
        <w:drawing>
          <wp:inline distT="0" distB="0" distL="0" distR="0" wp14:anchorId="6FF034A2" wp14:editId="6D2030AC">
            <wp:extent cx="5943600" cy="305308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DE185C">
        <w:rPr>
          <w:rFonts w:ascii="Calibri" w:hAnsi="Calibri"/>
          <w:sz w:val="18"/>
          <w:szCs w:val="20"/>
        </w:rPr>
        <w:t xml:space="preserve">Data from National Renewable Energy Laboratory analysis, R.L. Polk, POLK_VIO_DETAIL_2014, January 2015. </w:t>
      </w:r>
    </w:p>
    <w:p w:rsidR="00524127" w:rsidRPr="00DE185C" w:rsidRDefault="00E016B9" w:rsidP="00524127">
      <w:pPr>
        <w:rPr>
          <w:rFonts w:ascii="Calibri" w:hAnsi="Calibri"/>
        </w:rPr>
      </w:pPr>
      <w:r>
        <w:rPr>
          <w:rFonts w:ascii="Calibri" w:hAnsi="Calibri"/>
        </w:rPr>
        <w:t>D</w:t>
      </w:r>
      <w:r w:rsidR="00524127" w:rsidRPr="00DE185C">
        <w:rPr>
          <w:rFonts w:ascii="Calibri" w:hAnsi="Calibri"/>
        </w:rPr>
        <w:t xml:space="preserve">iesel </w:t>
      </w:r>
      <w:r>
        <w:rPr>
          <w:rFonts w:ascii="Calibri" w:hAnsi="Calibri"/>
        </w:rPr>
        <w:t>has been</w:t>
      </w:r>
      <w:r w:rsidR="00524127" w:rsidRPr="00DE185C">
        <w:rPr>
          <w:rFonts w:ascii="Calibri" w:hAnsi="Calibri"/>
        </w:rPr>
        <w:t xml:space="preserve"> the </w:t>
      </w:r>
      <w:r>
        <w:rPr>
          <w:rFonts w:ascii="Calibri" w:hAnsi="Calibri"/>
        </w:rPr>
        <w:t xml:space="preserve">predominant fuel </w:t>
      </w:r>
      <w:r w:rsidR="00524127" w:rsidRPr="00DE185C">
        <w:rPr>
          <w:rFonts w:ascii="Calibri" w:hAnsi="Calibri"/>
        </w:rPr>
        <w:t>for</w:t>
      </w:r>
      <w:r w:rsidR="00DE54CE">
        <w:rPr>
          <w:rFonts w:ascii="Calibri" w:hAnsi="Calibri"/>
        </w:rPr>
        <w:t xml:space="preserve"> use in</w:t>
      </w:r>
      <w:r w:rsidR="00524127" w:rsidRPr="00DE185C">
        <w:rPr>
          <w:rFonts w:ascii="Calibri" w:hAnsi="Calibri"/>
        </w:rPr>
        <w:t xml:space="preserve"> medium- and heavy-duty vehicle</w:t>
      </w:r>
      <w:r>
        <w:rPr>
          <w:rFonts w:ascii="Calibri" w:hAnsi="Calibri"/>
        </w:rPr>
        <w:t>s, comprising</w:t>
      </w:r>
      <w:r w:rsidR="00524127" w:rsidRPr="00DE185C">
        <w:rPr>
          <w:rFonts w:ascii="Calibri" w:hAnsi="Calibri"/>
        </w:rPr>
        <w:t xml:space="preserve"> approximately 65</w:t>
      </w:r>
      <w:r w:rsidR="005D6853">
        <w:rPr>
          <w:rFonts w:ascii="Calibri" w:hAnsi="Calibri"/>
        </w:rPr>
        <w:t xml:space="preserve"> percent</w:t>
      </w:r>
      <w:r w:rsidR="00524127" w:rsidRPr="00DE185C">
        <w:rPr>
          <w:rFonts w:ascii="Calibri" w:hAnsi="Calibri"/>
        </w:rPr>
        <w:t xml:space="preserve"> of medium- and heavy-duty vehicles</w:t>
      </w:r>
      <w:r w:rsidR="007C326F" w:rsidRPr="00DE185C">
        <w:rPr>
          <w:rFonts w:ascii="Calibri" w:hAnsi="Calibri"/>
        </w:rPr>
        <w:t xml:space="preserve"> sales</w:t>
      </w:r>
      <w:r w:rsidR="00524127" w:rsidRPr="00DE185C">
        <w:rPr>
          <w:rFonts w:ascii="Calibri" w:hAnsi="Calibri"/>
        </w:rPr>
        <w:t xml:space="preserve"> from 2010 to 2014. </w:t>
      </w:r>
    </w:p>
    <w:p w:rsidR="005C5D24" w:rsidRDefault="00524127" w:rsidP="00524127">
      <w:pPr>
        <w:rPr>
          <w:rFonts w:ascii="Calibri" w:hAnsi="Calibri"/>
        </w:rPr>
      </w:pPr>
      <w:r w:rsidRPr="00DE185C">
        <w:rPr>
          <w:rFonts w:ascii="Calibri" w:hAnsi="Calibri"/>
        </w:rPr>
        <w:t xml:space="preserve">Though diesel has historically been regarded as a “dirty” fuel, </w:t>
      </w:r>
      <w:r w:rsidR="0024355F" w:rsidRPr="00DE185C">
        <w:rPr>
          <w:rFonts w:ascii="Calibri" w:hAnsi="Calibri"/>
        </w:rPr>
        <w:t xml:space="preserve">emissions control </w:t>
      </w:r>
      <w:r w:rsidRPr="00DE185C">
        <w:rPr>
          <w:rFonts w:ascii="Calibri" w:hAnsi="Calibri"/>
        </w:rPr>
        <w:t xml:space="preserve">technology has improved </w:t>
      </w:r>
      <w:r w:rsidR="0024355F" w:rsidRPr="00DE185C">
        <w:rPr>
          <w:rFonts w:ascii="Calibri" w:hAnsi="Calibri"/>
        </w:rPr>
        <w:t>greatly in the last decade</w:t>
      </w:r>
      <w:r w:rsidRPr="00DE185C">
        <w:rPr>
          <w:rFonts w:ascii="Calibri" w:hAnsi="Calibri"/>
        </w:rPr>
        <w:t>. In 2006, California began the transition to Ultra Low Sulfur Diesel, allowing the use of particula</w:t>
      </w:r>
      <w:r w:rsidR="007A72F3" w:rsidRPr="00DE185C">
        <w:rPr>
          <w:rFonts w:ascii="Calibri" w:hAnsi="Calibri"/>
        </w:rPr>
        <w:t>te</w:t>
      </w:r>
      <w:r w:rsidR="00A66635" w:rsidRPr="00DE185C">
        <w:rPr>
          <w:rFonts w:ascii="Calibri" w:hAnsi="Calibri"/>
        </w:rPr>
        <w:t xml:space="preserve"> filters that highly reduce</w:t>
      </w:r>
      <w:r w:rsidRPr="00DE185C">
        <w:rPr>
          <w:rFonts w:ascii="Calibri" w:hAnsi="Calibri"/>
        </w:rPr>
        <w:t xml:space="preserve"> </w:t>
      </w:r>
      <w:r w:rsidR="00243AB0" w:rsidRPr="00DE185C">
        <w:rPr>
          <w:rFonts w:ascii="Calibri" w:hAnsi="Calibri"/>
        </w:rPr>
        <w:t>particulate matter (</w:t>
      </w:r>
      <w:r w:rsidRPr="00DE185C">
        <w:rPr>
          <w:rFonts w:ascii="Calibri" w:hAnsi="Calibri"/>
        </w:rPr>
        <w:t>PM</w:t>
      </w:r>
      <w:r w:rsidR="00243AB0" w:rsidRPr="00DE185C">
        <w:rPr>
          <w:rFonts w:ascii="Calibri" w:hAnsi="Calibri"/>
        </w:rPr>
        <w:t>)</w:t>
      </w:r>
      <w:r w:rsidRPr="00DE185C">
        <w:rPr>
          <w:rFonts w:ascii="Calibri" w:hAnsi="Calibri"/>
        </w:rPr>
        <w:t>. Further, technologies such as Selective Catalytic Reduction (SCR) allow diesel engines to decrease exhaust emissions by up to 90</w:t>
      </w:r>
      <w:r w:rsidR="005D6853">
        <w:rPr>
          <w:rFonts w:ascii="Calibri" w:hAnsi="Calibri"/>
        </w:rPr>
        <w:t xml:space="preserve"> percent</w:t>
      </w:r>
      <w:r w:rsidRPr="00DE185C">
        <w:rPr>
          <w:rFonts w:ascii="Calibri" w:hAnsi="Calibri"/>
        </w:rPr>
        <w:t>. Current</w:t>
      </w:r>
      <w:r w:rsidR="008C5E54" w:rsidRPr="00DE185C">
        <w:rPr>
          <w:rFonts w:ascii="Calibri" w:hAnsi="Calibri"/>
        </w:rPr>
        <w:t xml:space="preserve"> </w:t>
      </w:r>
      <w:r w:rsidRPr="00DE185C">
        <w:rPr>
          <w:rFonts w:ascii="Calibri" w:hAnsi="Calibri"/>
        </w:rPr>
        <w:t>regulations ensure that the state</w:t>
      </w:r>
      <w:r w:rsidR="000A2153" w:rsidRPr="00DE185C">
        <w:rPr>
          <w:rFonts w:ascii="Calibri" w:hAnsi="Calibri"/>
        </w:rPr>
        <w:t>’</w:t>
      </w:r>
      <w:r w:rsidRPr="00DE185C">
        <w:rPr>
          <w:rFonts w:ascii="Calibri" w:hAnsi="Calibri"/>
        </w:rPr>
        <w:t>s diesel fleet will transition to these new technology engines over the next ten years.</w:t>
      </w:r>
    </w:p>
    <w:p w:rsidR="00D547A0" w:rsidRDefault="00D547A0" w:rsidP="00524127">
      <w:pPr>
        <w:rPr>
          <w:rFonts w:ascii="Calibri" w:hAnsi="Calibri"/>
        </w:rPr>
      </w:pPr>
    </w:p>
    <w:p w:rsidR="00D547A0" w:rsidRDefault="00D547A0" w:rsidP="00524127">
      <w:pPr>
        <w:rPr>
          <w:rFonts w:ascii="Calibri" w:hAnsi="Calibri"/>
        </w:rPr>
      </w:pPr>
    </w:p>
    <w:p w:rsidR="00D547A0" w:rsidRDefault="00D547A0" w:rsidP="00524127">
      <w:pPr>
        <w:rPr>
          <w:rFonts w:ascii="Calibri" w:hAnsi="Calibri"/>
        </w:rPr>
      </w:pPr>
    </w:p>
    <w:p w:rsidR="00D547A0" w:rsidRDefault="00D547A0" w:rsidP="00524127">
      <w:pPr>
        <w:rPr>
          <w:rFonts w:ascii="Calibri" w:hAnsi="Calibri"/>
        </w:rPr>
      </w:pPr>
    </w:p>
    <w:p w:rsidR="00D547A0" w:rsidRDefault="00D547A0" w:rsidP="00524127">
      <w:pPr>
        <w:rPr>
          <w:rFonts w:ascii="Calibri" w:hAnsi="Calibri"/>
        </w:rPr>
      </w:pPr>
    </w:p>
    <w:p w:rsidR="00D547A0" w:rsidRDefault="00D547A0" w:rsidP="00524127">
      <w:pPr>
        <w:rPr>
          <w:rFonts w:ascii="Calibri" w:hAnsi="Calibri"/>
        </w:rPr>
      </w:pPr>
    </w:p>
    <w:p w:rsidR="00D547A0" w:rsidRPr="00DE185C" w:rsidRDefault="00D547A0" w:rsidP="00524127">
      <w:pPr>
        <w:rPr>
          <w:rFonts w:ascii="Calibri" w:hAnsi="Calibri"/>
        </w:rPr>
      </w:pPr>
    </w:p>
    <w:p w:rsidR="00524127" w:rsidRPr="00DE185C" w:rsidRDefault="00524127" w:rsidP="007E5FED">
      <w:pPr>
        <w:pStyle w:val="Subtitle"/>
      </w:pPr>
      <w:bookmarkStart w:id="51" w:name="_Toc416259280"/>
      <w:r w:rsidRPr="00DE185C">
        <w:t xml:space="preserve">Figure </w:t>
      </w:r>
      <w:r w:rsidR="00D95E1A" w:rsidRPr="00DE185C">
        <w:t>7</w:t>
      </w:r>
      <w:r w:rsidR="0073269A" w:rsidRPr="00DE185C">
        <w:t>-</w:t>
      </w:r>
      <w:r w:rsidR="00210A62">
        <w:t>3</w:t>
      </w:r>
      <w:r w:rsidRPr="00DE185C">
        <w:t>: New Med</w:t>
      </w:r>
      <w:r w:rsidR="00243AB0" w:rsidRPr="00DE185C">
        <w:t>ium</w:t>
      </w:r>
      <w:r w:rsidR="001215FB" w:rsidRPr="00DE185C">
        <w:t>- and Heavy-Duty Vehicle Sales</w:t>
      </w:r>
      <w:r w:rsidR="001215FB" w:rsidRPr="00DE185C">
        <w:br/>
      </w:r>
      <w:r w:rsidRPr="00DE185C">
        <w:t>San Diego County, 2010-2013</w:t>
      </w:r>
      <w:bookmarkEnd w:id="51"/>
    </w:p>
    <w:p w:rsidR="00524127" w:rsidRPr="00DE185C" w:rsidRDefault="00524127" w:rsidP="00524127">
      <w:pPr>
        <w:rPr>
          <w:rFonts w:ascii="Calibri" w:hAnsi="Calibri"/>
          <w:sz w:val="20"/>
        </w:rPr>
      </w:pPr>
      <w:r w:rsidRPr="00DE185C">
        <w:rPr>
          <w:rFonts w:ascii="Calibri" w:hAnsi="Calibri"/>
          <w:noProof/>
          <w:lang w:eastAsia="zh-CN"/>
        </w:rPr>
        <w:drawing>
          <wp:inline distT="0" distB="0" distL="0" distR="0" wp14:anchorId="12EDBF92" wp14:editId="45DAF3B2">
            <wp:extent cx="5633049" cy="2967487"/>
            <wp:effectExtent l="0" t="0" r="6350" b="444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DE185C">
        <w:rPr>
          <w:rFonts w:ascii="Calibri" w:hAnsi="Calibri"/>
          <w:sz w:val="18"/>
          <w:szCs w:val="20"/>
        </w:rPr>
        <w:br/>
        <w:t xml:space="preserve">Data from National Renewable Energy Laboratory analysis, R.L. Polk, POLK_VIO_DETAIL_2014, January 2015. </w:t>
      </w:r>
    </w:p>
    <w:p w:rsidR="002E1FA2" w:rsidRPr="00DE185C" w:rsidRDefault="00717E4F" w:rsidP="00524127">
      <w:pPr>
        <w:rPr>
          <w:rFonts w:ascii="Calibri" w:hAnsi="Calibri"/>
        </w:rPr>
      </w:pPr>
      <w:r>
        <w:rPr>
          <w:rFonts w:ascii="Calibri" w:hAnsi="Calibri"/>
        </w:rPr>
        <w:t>F</w:t>
      </w:r>
      <w:r w:rsidR="00524127" w:rsidRPr="00DE185C">
        <w:rPr>
          <w:rFonts w:ascii="Calibri" w:hAnsi="Calibri"/>
        </w:rPr>
        <w:t>igure</w:t>
      </w:r>
      <w:r>
        <w:rPr>
          <w:rFonts w:ascii="Calibri" w:hAnsi="Calibri"/>
        </w:rPr>
        <w:t xml:space="preserve"> 7-</w:t>
      </w:r>
      <w:r w:rsidR="003A7EDC">
        <w:rPr>
          <w:rFonts w:ascii="Calibri" w:hAnsi="Calibri"/>
        </w:rPr>
        <w:t>4</w:t>
      </w:r>
      <w:r w:rsidR="00524127" w:rsidRPr="00DE185C">
        <w:rPr>
          <w:rFonts w:ascii="Calibri" w:hAnsi="Calibri"/>
        </w:rPr>
        <w:t xml:space="preserve"> shows the average yearly gasoline price in California between 2010 and 2014 with San Diego County’s alternative fuel light-duty and gasoline light-duty vehicle sales. </w:t>
      </w:r>
    </w:p>
    <w:p w:rsidR="002E1FA2" w:rsidRPr="00DE185C" w:rsidRDefault="002E1FA2" w:rsidP="00524127">
      <w:pPr>
        <w:rPr>
          <w:rFonts w:ascii="Calibri" w:hAnsi="Calibri"/>
        </w:rPr>
      </w:pPr>
    </w:p>
    <w:p w:rsidR="008C5E54" w:rsidRPr="00DE185C" w:rsidRDefault="008C5E54">
      <w:pPr>
        <w:rPr>
          <w:rFonts w:ascii="Calibri" w:eastAsiaTheme="majorEastAsia" w:hAnsi="Calibri" w:cstheme="majorBidi"/>
          <w:b/>
          <w:iCs/>
          <w:spacing w:val="15"/>
          <w:sz w:val="24"/>
          <w:szCs w:val="24"/>
        </w:rPr>
      </w:pPr>
      <w:r w:rsidRPr="00DE185C">
        <w:rPr>
          <w:rFonts w:ascii="Calibri" w:hAnsi="Calibri"/>
        </w:rPr>
        <w:br w:type="page"/>
      </w:r>
    </w:p>
    <w:p w:rsidR="00524127" w:rsidRPr="00DE185C" w:rsidRDefault="00524127" w:rsidP="007E5FED">
      <w:pPr>
        <w:pStyle w:val="Subtitle"/>
      </w:pPr>
      <w:bookmarkStart w:id="52" w:name="_Toc416259281"/>
      <w:r w:rsidRPr="00DE185C">
        <w:t xml:space="preserve">Figure </w:t>
      </w:r>
      <w:r w:rsidR="00D95E1A" w:rsidRPr="00DE185C">
        <w:t>7</w:t>
      </w:r>
      <w:r w:rsidR="0073269A" w:rsidRPr="00DE185C">
        <w:t>-</w:t>
      </w:r>
      <w:r w:rsidR="00210A62">
        <w:t>4</w:t>
      </w:r>
      <w:r w:rsidRPr="00DE185C">
        <w:t xml:space="preserve">: </w:t>
      </w:r>
      <w:r w:rsidR="009E48E0" w:rsidRPr="00DE185C">
        <w:t xml:space="preserve">San Diego Regional </w:t>
      </w:r>
      <w:r w:rsidRPr="00DE185C">
        <w:t>Alternative Fuel Vehicle Sales and Gas</w:t>
      </w:r>
      <w:r w:rsidR="008D1F91" w:rsidRPr="00DE185C">
        <w:t>oline</w:t>
      </w:r>
      <w:r w:rsidRPr="00DE185C">
        <w:t xml:space="preserve"> Prices</w:t>
      </w:r>
      <w:bookmarkEnd w:id="52"/>
    </w:p>
    <w:p w:rsidR="00524127" w:rsidRPr="00DE185C" w:rsidRDefault="00874AAE" w:rsidP="00524127">
      <w:pPr>
        <w:rPr>
          <w:rFonts w:ascii="Calibri" w:hAnsi="Calibri"/>
        </w:rPr>
      </w:pPr>
      <w:r w:rsidRPr="00DE185C">
        <w:rPr>
          <w:rFonts w:ascii="Calibri" w:hAnsi="Calibri"/>
          <w:noProof/>
          <w:lang w:eastAsia="zh-CN"/>
        </w:rPr>
        <w:drawing>
          <wp:inline distT="0" distB="0" distL="0" distR="0" wp14:anchorId="1052D052" wp14:editId="540E8EEA">
            <wp:extent cx="6272362" cy="305375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524127" w:rsidRPr="00DE185C">
        <w:rPr>
          <w:rFonts w:ascii="Calibri" w:hAnsi="Calibri"/>
          <w:sz w:val="18"/>
        </w:rPr>
        <w:t xml:space="preserve">U.S. Energy Information Administration. “Weekly Retail Gasoline and Diesel Prices.” California. http://www.eia.gov/dnav/pet/pet_pri_gnd_dcus_sca_a.htm </w:t>
      </w:r>
    </w:p>
    <w:p w:rsidR="00524127" w:rsidRPr="00DE185C" w:rsidRDefault="00717E4F" w:rsidP="00524127">
      <w:pPr>
        <w:rPr>
          <w:rFonts w:ascii="Calibri" w:hAnsi="Calibri"/>
        </w:rPr>
      </w:pPr>
      <w:r>
        <w:rPr>
          <w:rFonts w:ascii="Calibri" w:hAnsi="Calibri"/>
        </w:rPr>
        <w:t xml:space="preserve">The data </w:t>
      </w:r>
      <w:r w:rsidR="00185DEB" w:rsidRPr="00DE185C">
        <w:rPr>
          <w:rFonts w:ascii="Calibri" w:hAnsi="Calibri"/>
        </w:rPr>
        <w:t xml:space="preserve">does not </w:t>
      </w:r>
      <w:r>
        <w:rPr>
          <w:rFonts w:ascii="Calibri" w:hAnsi="Calibri"/>
        </w:rPr>
        <w:t>show</w:t>
      </w:r>
      <w:r w:rsidR="00524127" w:rsidRPr="00DE185C">
        <w:rPr>
          <w:rFonts w:ascii="Calibri" w:hAnsi="Calibri"/>
        </w:rPr>
        <w:t xml:space="preserve"> </w:t>
      </w:r>
      <w:r w:rsidR="00185DEB" w:rsidRPr="00DE185C">
        <w:rPr>
          <w:rFonts w:ascii="Calibri" w:hAnsi="Calibri"/>
        </w:rPr>
        <w:t xml:space="preserve">a </w:t>
      </w:r>
      <w:r w:rsidR="00524127" w:rsidRPr="00DE185C">
        <w:rPr>
          <w:rFonts w:ascii="Calibri" w:hAnsi="Calibri"/>
        </w:rPr>
        <w:t xml:space="preserve">strong indication that an increase in gas prices </w:t>
      </w:r>
      <w:r w:rsidR="00185DEB" w:rsidRPr="00DE185C">
        <w:rPr>
          <w:rFonts w:ascii="Calibri" w:hAnsi="Calibri"/>
        </w:rPr>
        <w:t xml:space="preserve">led to </w:t>
      </w:r>
      <w:r w:rsidR="00524127" w:rsidRPr="00DE185C">
        <w:rPr>
          <w:rFonts w:ascii="Calibri" w:hAnsi="Calibri"/>
        </w:rPr>
        <w:t>decrease</w:t>
      </w:r>
      <w:r w:rsidR="00185DEB" w:rsidRPr="00DE185C">
        <w:rPr>
          <w:rFonts w:ascii="Calibri" w:hAnsi="Calibri"/>
        </w:rPr>
        <w:t>d</w:t>
      </w:r>
      <w:r w:rsidR="00524127" w:rsidRPr="00DE185C">
        <w:rPr>
          <w:rFonts w:ascii="Calibri" w:hAnsi="Calibri"/>
        </w:rPr>
        <w:t xml:space="preserve"> gasoline vehicle purchases or increase</w:t>
      </w:r>
      <w:r w:rsidR="00185DEB" w:rsidRPr="00DE185C">
        <w:rPr>
          <w:rFonts w:ascii="Calibri" w:hAnsi="Calibri"/>
        </w:rPr>
        <w:t>d</w:t>
      </w:r>
      <w:r w:rsidR="00524127" w:rsidRPr="00DE185C">
        <w:rPr>
          <w:rFonts w:ascii="Calibri" w:hAnsi="Calibri"/>
        </w:rPr>
        <w:t xml:space="preserve"> alternative fuel vehicle purchases in the region</w:t>
      </w:r>
      <w:r w:rsidR="00847CBA">
        <w:rPr>
          <w:rFonts w:ascii="Calibri" w:hAnsi="Calibri"/>
        </w:rPr>
        <w:t xml:space="preserve"> </w:t>
      </w:r>
      <w:r w:rsidR="00F428A6">
        <w:rPr>
          <w:rFonts w:ascii="Calibri" w:hAnsi="Calibri"/>
        </w:rPr>
        <w:t>i</w:t>
      </w:r>
      <w:r w:rsidR="00847CBA" w:rsidRPr="00DE185C">
        <w:rPr>
          <w:rFonts w:ascii="Calibri" w:hAnsi="Calibri"/>
        </w:rPr>
        <w:t>n the year 2014, San Diegans used 1.6 billion gallons of gasoline, costing them $6.06 billion.</w:t>
      </w:r>
      <w:r w:rsidR="00847CBA" w:rsidRPr="00DE185C">
        <w:rPr>
          <w:rStyle w:val="FootnoteReference"/>
          <w:rFonts w:ascii="Calibri" w:hAnsi="Calibri"/>
        </w:rPr>
        <w:footnoteReference w:id="23"/>
      </w:r>
      <w:r w:rsidR="00847CBA" w:rsidRPr="00DE185C">
        <w:rPr>
          <w:rFonts w:ascii="Calibri" w:hAnsi="Calibri"/>
        </w:rPr>
        <w:t xml:space="preserve"> </w:t>
      </w:r>
    </w:p>
    <w:p w:rsidR="008C52C1" w:rsidRDefault="007904AB" w:rsidP="00524127">
      <w:pPr>
        <w:rPr>
          <w:rFonts w:ascii="Calibri" w:hAnsi="Calibri"/>
        </w:rPr>
      </w:pPr>
      <w:r w:rsidRPr="00DE185C">
        <w:rPr>
          <w:rFonts w:ascii="Calibri" w:hAnsi="Calibri"/>
        </w:rPr>
        <w:t>While the San Diego region has witness</w:t>
      </w:r>
      <w:r w:rsidR="00412B1D">
        <w:rPr>
          <w:rFonts w:ascii="Calibri" w:hAnsi="Calibri"/>
        </w:rPr>
        <w:t>ed</w:t>
      </w:r>
      <w:r w:rsidRPr="00DE185C">
        <w:rPr>
          <w:rFonts w:ascii="Calibri" w:hAnsi="Calibri"/>
        </w:rPr>
        <w:t xml:space="preserve"> a steady rise in the number of alternative fuel vehicles, the most significant increase is seen among PEVs</w:t>
      </w:r>
      <w:r w:rsidR="00412B1D">
        <w:rPr>
          <w:rFonts w:ascii="Calibri" w:hAnsi="Calibri"/>
        </w:rPr>
        <w:t>, as shown in Figure 7-</w:t>
      </w:r>
      <w:r w:rsidR="003A7EDC">
        <w:rPr>
          <w:rFonts w:ascii="Calibri" w:hAnsi="Calibri"/>
        </w:rPr>
        <w:t>5</w:t>
      </w:r>
      <w:r w:rsidRPr="00DE185C">
        <w:rPr>
          <w:rFonts w:ascii="Calibri" w:hAnsi="Calibri"/>
        </w:rPr>
        <w:t xml:space="preserve">. </w:t>
      </w:r>
      <w:r w:rsidR="00524127" w:rsidRPr="00DE185C">
        <w:rPr>
          <w:rFonts w:ascii="Calibri" w:hAnsi="Calibri"/>
        </w:rPr>
        <w:t xml:space="preserve">The sharp increase </w:t>
      </w:r>
      <w:r w:rsidR="00272B3A" w:rsidRPr="00DE185C">
        <w:rPr>
          <w:rFonts w:ascii="Calibri" w:hAnsi="Calibri"/>
        </w:rPr>
        <w:t>in</w:t>
      </w:r>
      <w:r w:rsidR="00524127" w:rsidRPr="00DE185C">
        <w:rPr>
          <w:rFonts w:ascii="Calibri" w:hAnsi="Calibri"/>
        </w:rPr>
        <w:t xml:space="preserve"> PEVs between 2012 and 2014 </w:t>
      </w:r>
      <w:r w:rsidR="00412B1D">
        <w:rPr>
          <w:rFonts w:ascii="Calibri" w:hAnsi="Calibri"/>
        </w:rPr>
        <w:t xml:space="preserve">coincides with the increase in vehicle choices. </w:t>
      </w:r>
    </w:p>
    <w:p w:rsidR="008C52C1" w:rsidRDefault="008C52C1" w:rsidP="00524127">
      <w:pPr>
        <w:rPr>
          <w:rFonts w:ascii="Calibri" w:hAnsi="Calibri"/>
        </w:rPr>
      </w:pPr>
    </w:p>
    <w:p w:rsidR="008C52C1" w:rsidRPr="00DE185C" w:rsidRDefault="008C52C1" w:rsidP="00524127">
      <w:pPr>
        <w:rPr>
          <w:rFonts w:ascii="Calibri" w:hAnsi="Calibri"/>
        </w:rPr>
      </w:pPr>
    </w:p>
    <w:p w:rsidR="00524127" w:rsidRPr="00DE185C" w:rsidRDefault="00524127" w:rsidP="007E5FED">
      <w:pPr>
        <w:pStyle w:val="Subtitle"/>
      </w:pPr>
      <w:bookmarkStart w:id="53" w:name="_Toc416259282"/>
      <w:r w:rsidRPr="00DE185C">
        <w:t xml:space="preserve">Figure </w:t>
      </w:r>
      <w:r w:rsidR="00D95E1A" w:rsidRPr="00DE185C">
        <w:t>7</w:t>
      </w:r>
      <w:r w:rsidR="0073269A" w:rsidRPr="00DE185C">
        <w:t>-</w:t>
      </w:r>
      <w:r w:rsidR="00210A62">
        <w:t>5</w:t>
      </w:r>
      <w:r w:rsidRPr="00DE185C">
        <w:t>:</w:t>
      </w:r>
      <w:r w:rsidR="001215FB" w:rsidRPr="00DE185C">
        <w:t xml:space="preserve"> Estimated Cumulative </w:t>
      </w:r>
      <w:r w:rsidR="0009310B" w:rsidRPr="00DE185C">
        <w:t>P</w:t>
      </w:r>
      <w:r w:rsidR="001215FB" w:rsidRPr="00DE185C">
        <w:t>EV Sales</w:t>
      </w:r>
      <w:r w:rsidR="001215FB" w:rsidRPr="00DE185C">
        <w:br/>
      </w:r>
      <w:r w:rsidRPr="00DE185C">
        <w:t>San Diego County, 2010-2014</w:t>
      </w:r>
      <w:bookmarkEnd w:id="53"/>
    </w:p>
    <w:p w:rsidR="00524127" w:rsidRPr="00DE185C" w:rsidRDefault="00524127" w:rsidP="00524127">
      <w:pPr>
        <w:rPr>
          <w:rFonts w:ascii="Calibri" w:hAnsi="Calibri"/>
        </w:rPr>
      </w:pPr>
      <w:r w:rsidRPr="00DE185C">
        <w:rPr>
          <w:rFonts w:ascii="Calibri" w:hAnsi="Calibri"/>
          <w:noProof/>
          <w:lang w:eastAsia="zh-CN"/>
        </w:rPr>
        <w:drawing>
          <wp:inline distT="0" distB="0" distL="0" distR="0" wp14:anchorId="5EFAF3F9" wp14:editId="5C6E84EE">
            <wp:extent cx="5667375" cy="2819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24127" w:rsidRPr="00DE185C" w:rsidRDefault="00A95115"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09952" behindDoc="0" locked="0" layoutInCell="1" allowOverlap="1" wp14:anchorId="16EE7767" wp14:editId="55677532">
                <wp:simplePos x="0" y="0"/>
                <wp:positionH relativeFrom="column">
                  <wp:posOffset>3693160</wp:posOffset>
                </wp:positionH>
                <wp:positionV relativeFrom="paragraph">
                  <wp:posOffset>577850</wp:posOffset>
                </wp:positionV>
                <wp:extent cx="2172335" cy="15195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2172335" cy="1519555"/>
                          <a:chOff x="0" y="0"/>
                          <a:chExt cx="3083442" cy="1743739"/>
                        </a:xfrm>
                      </wpg:grpSpPr>
                      <wps:wsp>
                        <wps:cNvPr id="4" name="Text Box 2"/>
                        <wps:cNvSpPr txBox="1">
                          <a:spLocks noChangeArrowheads="1"/>
                        </wps:cNvSpPr>
                        <wps:spPr bwMode="auto">
                          <a:xfrm>
                            <a:off x="116958" y="364828"/>
                            <a:ext cx="2966484" cy="1130622"/>
                          </a:xfrm>
                          <a:prstGeom prst="rect">
                            <a:avLst/>
                          </a:prstGeom>
                          <a:noFill/>
                          <a:ln w="9525">
                            <a:noFill/>
                            <a:miter lim="800000"/>
                            <a:headEnd/>
                            <a:tailEnd/>
                          </a:ln>
                        </wps:spPr>
                        <wps:txbx>
                          <w:txbxContent>
                            <w:p w:rsidR="006909BC" w:rsidRPr="00463C43" w:rsidRDefault="006909BC" w:rsidP="00175666">
                              <w:pPr>
                                <w:pStyle w:val="CVText"/>
                                <w:spacing w:line="240" w:lineRule="auto"/>
                                <w:ind w:right="360"/>
                                <w:jc w:val="center"/>
                                <w:rPr>
                                  <w:i/>
                                  <w:color w:val="005997"/>
                                </w:rPr>
                              </w:pPr>
                              <w:r>
                                <w:rPr>
                                  <w:rFonts w:asciiTheme="minorHAnsi" w:hAnsiTheme="minorHAnsi"/>
                                  <w:b/>
                                  <w:i/>
                                  <w:color w:val="005997"/>
                                  <w:sz w:val="28"/>
                                  <w:szCs w:val="28"/>
                                  <w:lang w:val="en-US"/>
                                </w:rPr>
                                <w:t>Poway Unified School District has 35 CNG school buses</w:t>
                              </w:r>
                            </w:p>
                          </w:txbxContent>
                        </wps:txbx>
                        <wps:bodyPr rot="0" vert="horz" wrap="square" lIns="91440" tIns="45720" rIns="91440" bIns="45720" anchor="t" anchorCtr="0">
                          <a:noAutofit/>
                        </wps:bodyPr>
                      </wps:wsp>
                      <pic:pic xmlns:pic="http://schemas.openxmlformats.org/drawingml/2006/picture">
                        <pic:nvPicPr>
                          <pic:cNvPr id="6" name="Picture 8" descr="3mm_Frame_CV_19April2010-01_Top.png"/>
                          <pic:cNvPicPr>
                            <a:picLocks noChangeAspect="1"/>
                          </pic:cNvPicPr>
                        </pic:nvPicPr>
                        <pic:blipFill rotWithShape="1">
                          <a:blip r:embed="rId14"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Picture 8" descr="3mm_Frame_CV_19April2010-01_Top.png"/>
                          <pic:cNvPicPr>
                            <a:picLocks noChangeAspect="1"/>
                          </pic:cNvPicPr>
                        </pic:nvPicPr>
                        <pic:blipFill rotWithShape="1">
                          <a:blip r:embed="rId15"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1297172"/>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43" style="position:absolute;margin-left:290.8pt;margin-top:45.5pt;width:171.05pt;height:119.65pt;z-index:251709952;mso-width-relative:margin;mso-height-relative:margin" coordsize="30834,17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9gfWzQQAANQOAAAOAAAAZHJzL2Uyb0RvYy54bWzsV21v2zYQ/j5g/0HQ&#10;d8V6lyXEKRzbCQq0a7Bm28eApmhLqCRyJB05G/bfd0dKrmMHWJEW+5QCdfginu6ee+456vLdvm2c&#10;RyZVzbuZG1z4rsM6ysu6287c3+5vvKnrKE26kjS8YzP3iSn33dXPP132omAhr3hTMumAkU4VvZi5&#10;ldaimEwUrVhL1AUXrIPNDZct0TCV20kpSQ/W22YS+n466bksheSUKQWrS7vpXhn7mw2j+tNmo5h2&#10;mpkLvmnzK83vGn8nV5ek2EoiqpoObpBXeNGSuoOXHkwtiSbOTtZnptqaSq74Rl9Q3k74ZlNTZmKA&#10;aAL/JJpbyXfCxLIt+q04wATQnuD0arP0l8c76dTlzI1cpyMtpMi81YkQml5sC3jiVorP4k4OC1s7&#10;w2j3G9niX4jD2RtQnw6gsr12KCyGQRZGUeI6FPaCJMiTJLGw0wpyc3aOVqvhZORPozgOh5NZHGVR&#10;jicn44sn6N/BnV4AhdRXlNT3ofS5IoIZ8BViMKAUjyjdY3zXfO+EFijzEKLk6D0sQ6iGD0p84PSL&#10;cjq+qEi3ZXMpeV8xUoJ3gQkG3Qb7eBQBV4VCI+v+Iy8hGWSnuTF0AnUQpHkCtQWYRmk8DacW0gPo&#10;eQqr4KwBPYj8NDR+HqAjhZBK3zLeOjiYuRJKxbyIPH5Q2qI8PoIp7vhN3TSwToqmc/qZmydhYg4c&#10;7bS1hmpu6nbmTn38Z73CeFddaQ5rUjd2DL40HWRzjNlGr/frveFjOuK65uUTICK5LV4QGxhUXP7l&#10;Oj0U7sxVf+6IZK7TvO8A1TyIY6x0M4mTLISJPN5ZH++QjoKpmatdxw4X2qiDDXkO6G9qgwZ6aT0Z&#10;XAaqXV2Kmhbwf6hMGJ1x7r8VDE7pHfpvVbD9JhstkV92wgMREUTX67qp9ZMRREgJOtU93tUUGYWT&#10;r/RNR/rCLr7UAQqVTFGIOWrbhxsJCvCw+P0hyOdC1g1qkucHD/dcXIhuixkZ7VnrQKOanjBcCaDS&#10;yO7nj09w+sy1dVMLJBam949aV6bqxuLBzQEVcPBE8l4A1srpktNdyzpt+4NkDQDEO1XVQgETCtau&#10;WQl8f18GUB7QmzSUGQTbWfqXO66hU2H+TRNii0Y6jwTaB6EUrFrOq4qUzC7HyYHnimioWrscROM6&#10;8PxgCc1iVR2M9hWUDOIKTx29GuoYqhCfxoo2jeTvcDr3/Ty89haJv/BiP1t58zzOvMxfZbEfT4NF&#10;sPgHKzKIi51ikBXSLEU9AAirZxC+2DWG/mr7kelrNiBTy+AlOGS8HV2EJcyTAUzSXyH32GvDGMQH&#10;WOAlWZZhBcIwSEHL1zM3zlJT3ICLlkzTCsNHZoxksCz7Jh0E0+ctB+UuyDKrfnGcJmk2QDyq6Khs&#10;rxE/jPSgeRA9ipiB5SxjCUgzZCz15vNl5sXxcupdX8NosVjlcRSkcbI6ZAwZxftPa0WhLMvvT5ql&#10;1FmyEGYEdkAcphZsGAzvhNEZUV6otZNrGJz630QsgMK1V5W7NxUr8X70pmKnV+ofo2JemuNV4pmM&#10;ZdkPUjF7own84aaEIvLsHh2EeQZ3Z1Qu2wbwNh35SZCgtuLF7k3abD8ywms6yKm0mS8E+HQyHWv4&#10;zMNvs+M5jI8/Rq/+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tTWDz+EAAAAKAQAADwAAAGRycy9kb3ducmV2LnhtbEyPUWvCMBSF3wf7D+EKe5tpDDqtTUVk25MM&#10;1MHYW2yubbFJShPb+u9397Q9Xu7HOd/JNqNtWI9dqL1TIKYJMHSFN7UrFXye3p6XwELUzujGO1Rw&#10;xwCb/PEh06nxgztgf4wloxAXUq2girFNOQ9FhVaHqW/R0e/iO6sjnV3JTacHCrcNnyXJgltdO2qo&#10;dIu7Covr8WYVvA962Erx2u+vl939+zT/+NoLVOppMm7XwCKO8Q+GX31Sh5yczv7mTGCNgvlSLAhV&#10;sBK0iYDVTL4AOyuQMpHA84z/n5D/AAAA//8DAFBLAwQKAAAAAAAAACEA6jqpDq4BAACuAQAAFAAA&#10;AGRycy9tZWRpYS9pbWFnZTEucG5niVBORw0KGgoAAAANSUhEUgAAAggAAAA9CAIAAABHtgYDAAAA&#10;AXNSR0IArs4c6QAAAARnQU1BAACxjwv8YQUAAAAJcEhZcwAAIdUAACHVAQSctJ0AAAFDSURBVHhe&#10;7dctcsJgGEZR9r8Q9lAfFc9gUSAwTDU/pU1ErwrUZXqO+Uwe+97JZgsA2+3xeHz8EAYAvgkDACEM&#10;AIQwABDCAEAIAwAhDACEMAAQwgBACAMAIQwAhDAAEMIAQAgDACEMAIQwABDCAEAIAwAhDADE22EY&#10;huFyuXwCsCr7/X6+40veDsM4jtfrddoAsBaHw2G+40uEAeBfEAYAQhgACGEAIIQBgBAGAEIYAAhh&#10;ACCEAYAQBgBCGAAIYQAghAGAEAYAQhgACGEAIIQBgBAGAEIYAAhhACCEAYAQBgBCGAAIYQAghAGA&#10;EAYAQhgACGEAIIQBgBAGAEIYAAhhACCEAYD4Sxg+XrPb7W6327QBYC1Op9N8x5ecz+dpsnn+B7xC&#10;FQDW6H6/z3d8yfPLabKZHgCYCAMAIQwAhDAA8Mvj8QW+NOwJH/VpEAAAAABJRU5ErkJgglBLAwQK&#10;AAAAAAAAACEA33ZrJaIBAACiAQAAFAAAAGRycy9tZWRpYS9pbWFnZTIucG5niVBORw0KGgoAAAAN&#10;SUhEUgAAAgYAAAA9CAIAAABZfzawAAAAAXNSR0IArs4c6QAAAARnQU1BAACxjwv8YQUAAAAJcEhZ&#10;cwAAIdUAACHVAQSctJ0AAAE3SURBVHhe7dYhcsJgGEVR9r+Q7qE7iMIzg40Bw1QnpAy5PlAF5Rzz&#10;m3z23ey+APhs4zgud5IA8OkkAYBIAgCRBAAiCQBEEgCIJAAQSQAgkgBAJAGASAIAkQQAIgkARBIA&#10;iCQAEEkAIJIAQCQBgEgCAHk6CcMwXC6XHwDexPF4bMG3PJ2E/X4/TdN6A8Druw19C75FEgD+OUkA&#10;IJIAQCQBgEgCAJEEACIJAEQSAIgkABBJACCSAEAkAYBIAgCRBAAiCQBEEgCIJAAQSQAgkgBAJAGA&#10;SAIAkQQAIgkARBIAiCQAEEkAIJIAQCQBgEgCAJEEACIJAEQSAIgkAJC/JOH7MYfDYZ7n9QaA13c+&#10;n1vwLafTaT3Z3f79H6EHAO/ler224FtuX64nu/UBAEkAIJIAQCQBgLtl+QXYBKyPyt5lRAAAAABJ&#10;RU5ErkJgglBLAQItABQABgAIAAAAIQCxgme2CgEAABMCAAATAAAAAAAAAAAAAAAAAAAAAABbQ29u&#10;dGVudF9UeXBlc10ueG1sUEsBAi0AFAAGAAgAAAAhADj9If/WAAAAlAEAAAsAAAAAAAAAAAAAAAAA&#10;OwEAAF9yZWxzLy5yZWxzUEsBAi0AFAAGAAgAAAAhAJ32B9bNBAAA1A4AAA4AAAAAAAAAAAAAAAAA&#10;OgIAAGRycy9lMm9Eb2MueG1sUEsBAi0AFAAGAAgAAAAhAC5s8ADFAAAApQEAABkAAAAAAAAAAAAA&#10;AAAAMwcAAGRycy9fcmVscy9lMm9Eb2MueG1sLnJlbHNQSwECLQAUAAYACAAAACEAtTWDz+EAAAAK&#10;AQAADwAAAAAAAAAAAAAAAAAvCAAAZHJzL2Rvd25yZXYueG1sUEsBAi0ACgAAAAAAAAAhAOo6qQ6u&#10;AQAArgEAABQAAAAAAAAAAAAAAAAAPQkAAGRycy9tZWRpYS9pbWFnZTEucG5nUEsBAi0ACgAAAAAA&#10;AAAhAN92ayWiAQAAogEAABQAAAAAAAAAAAAAAAAAHQsAAGRycy9tZWRpYS9pbWFnZTIucG5nUEsF&#10;BgAAAAAHAAcAvgEAAPEMAAAAAA==&#10;">
                <v:shape id="_x0000_s1044" type="#_x0000_t202" style="position:absolute;left:1169;top:3648;width:29665;height:1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6909BC" w:rsidRPr="00463C43" w:rsidRDefault="006909BC" w:rsidP="00175666">
                        <w:pPr>
                          <w:pStyle w:val="CVText"/>
                          <w:spacing w:line="240" w:lineRule="auto"/>
                          <w:ind w:right="360"/>
                          <w:jc w:val="center"/>
                          <w:rPr>
                            <w:i/>
                            <w:color w:val="005997"/>
                          </w:rPr>
                        </w:pPr>
                        <w:r>
                          <w:rPr>
                            <w:rFonts w:asciiTheme="minorHAnsi" w:hAnsiTheme="minorHAnsi"/>
                            <w:b/>
                            <w:i/>
                            <w:color w:val="005997"/>
                            <w:sz w:val="28"/>
                            <w:szCs w:val="28"/>
                            <w:lang w:val="en-US"/>
                          </w:rPr>
                          <w:t>Poway Unified School District has 35 CNG school buses</w:t>
                        </w:r>
                      </w:p>
                    </w:txbxContent>
                  </v:textbox>
                </v:shape>
                <v:shape id="Picture 8" o:spid="_x0000_s1045"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9UnrDAAAA2gAAAA8AAABkcnMvZG93bnJldi54bWxEj0FrwkAUhO8F/8PyBG/NRg9SUlcRRVBE&#10;QW2hub1mn5to9m3Irpr+e7dQ6HGYmW+YyayztbhT6yvHCoZJCoK4cLpio+DjtHp9A+EDssbaMSn4&#10;IQ+zae9lgpl2Dz7Q/RiMiBD2GSooQ2gyKX1RkkWfuIY4emfXWgxRtkbqFh8Rbms5StOxtFhxXCix&#10;oUVJxfV4swq2nWy+8lMwcnnBXf5Zb8z3Pldq0O/m7yACdeE//NdeawVj+L0Sb4C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71SesMAAADaAAAADwAAAAAAAAAAAAAAAACf&#10;AgAAZHJzL2Rvd25yZXYueG1sUEsFBgAAAAAEAAQA9wAAAI8DAAAAAA==&#10;">
                  <v:imagedata r:id="rId16" o:title="3mm_Frame_CV_19April2010-01_Top" croptop="-37860f" cropbottom="3123f" cropleft="160f" cropright="-106f" recolortarget="#1d4f5c [1448]"/>
                  <v:path arrowok="t"/>
                </v:shape>
                <v:shape id="Picture 8" o:spid="_x0000_s1046" type="#_x0000_t75" alt="3mm_Frame_CV_19April2010-01_Top.png" style="position:absolute;top:12971;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WyWi/AAAA2wAAAA8AAABkcnMvZG93bnJldi54bWxET0tqwzAQ3Qd6BzGFbEIjq5AS3ChBFAxd&#10;dJM4BxisqW1sjYylKu7tq0Ahu3m87xxOixtFojn0njWobQGCuPG251bDta5e9iBCRLY4eiYNvxTg&#10;dHxaHbC0/sZnSpfYihzCoUQNXYxTKWVoOnIYtn4izty3nx3GDOdW2hlvOdyN8rUo3qTDnnNDhxN9&#10;dNQMlx+nYdigSkbVqUiG5G5wxldfRuv182LeQURa4kP87/60eb6C+y/5AHn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h1slovwAAANsAAAAPAAAAAAAAAAAAAAAAAJ8CAABk&#10;cnMvZG93bnJldi54bWxQSwUGAAAAAAQABAD3AAAAiwMAAAAA&#10;">
                  <v:imagedata r:id="rId17" o:title="3mm_Frame_CV_19April2010-01_Top" croptop="-37860f" cropbottom="3123f" cropleft="-452f" cropright="506f" recolortarget="#1d4f5c [1448]"/>
                  <v:path arrowok="t"/>
                </v:shape>
                <w10:wrap type="square"/>
              </v:group>
            </w:pict>
          </mc:Fallback>
        </mc:AlternateContent>
      </w:r>
      <w:r w:rsidR="00524127" w:rsidRPr="00DE185C">
        <w:rPr>
          <w:rFonts w:ascii="Calibri" w:hAnsi="Calibri"/>
        </w:rPr>
        <w:t xml:space="preserve">In the four years since PEVs were introduced, they now hold roughly one percent of </w:t>
      </w:r>
      <w:r w:rsidR="00DD1342" w:rsidRPr="00DE185C">
        <w:rPr>
          <w:rFonts w:ascii="Calibri" w:hAnsi="Calibri"/>
        </w:rPr>
        <w:t>the region</w:t>
      </w:r>
      <w:r w:rsidR="00524127" w:rsidRPr="00DE185C">
        <w:rPr>
          <w:rFonts w:ascii="Calibri" w:hAnsi="Calibri"/>
        </w:rPr>
        <w:t>’s passenger vehicle market. Recently, PEVs have held close to five percent of California new car sales.</w:t>
      </w:r>
      <w:r w:rsidR="00524127" w:rsidRPr="00DE185C">
        <w:rPr>
          <w:rStyle w:val="FootnoteReference"/>
          <w:rFonts w:ascii="Calibri" w:hAnsi="Calibri"/>
        </w:rPr>
        <w:footnoteReference w:id="24"/>
      </w:r>
      <w:r w:rsidR="00874AAE" w:rsidRPr="00DE185C">
        <w:rPr>
          <w:rFonts w:ascii="Calibri" w:hAnsi="Calibri"/>
        </w:rPr>
        <w:t xml:space="preserve"> In the San Diego region, there are over 10,000 PEVs. </w:t>
      </w:r>
    </w:p>
    <w:p w:rsidR="007C326F" w:rsidRPr="00DE185C" w:rsidRDefault="007C326F" w:rsidP="007C326F">
      <w:pPr>
        <w:pStyle w:val="Heading2"/>
        <w:rPr>
          <w:rFonts w:ascii="Calibri" w:hAnsi="Calibri"/>
        </w:rPr>
      </w:pPr>
      <w:bookmarkStart w:id="54" w:name="_Toc416259252"/>
      <w:r w:rsidRPr="00DE185C">
        <w:rPr>
          <w:rFonts w:ascii="Calibri" w:hAnsi="Calibri"/>
        </w:rPr>
        <w:t>Alternative Fuel Vehicles in Local Fleets</w:t>
      </w:r>
      <w:bookmarkEnd w:id="54"/>
    </w:p>
    <w:p w:rsidR="00524127" w:rsidRPr="00DE185C" w:rsidRDefault="00524127" w:rsidP="00524127">
      <w:pPr>
        <w:rPr>
          <w:rFonts w:ascii="Calibri" w:hAnsi="Calibri"/>
        </w:rPr>
      </w:pPr>
      <w:r w:rsidRPr="00DE185C">
        <w:rPr>
          <w:rFonts w:ascii="Calibri" w:hAnsi="Calibri"/>
        </w:rPr>
        <w:t xml:space="preserve">Since 2004, the </w:t>
      </w:r>
      <w:r w:rsidR="00DC273F" w:rsidRPr="00DE185C">
        <w:rPr>
          <w:rFonts w:ascii="Calibri" w:hAnsi="Calibri"/>
        </w:rPr>
        <w:t>SDRCCC</w:t>
      </w:r>
      <w:r w:rsidRPr="00DE185C">
        <w:rPr>
          <w:rFonts w:ascii="Calibri" w:hAnsi="Calibri"/>
        </w:rPr>
        <w:t xml:space="preserve"> has maintained regional data on </w:t>
      </w:r>
      <w:r w:rsidR="004D0EAC">
        <w:rPr>
          <w:rFonts w:ascii="Calibri" w:hAnsi="Calibri"/>
        </w:rPr>
        <w:t xml:space="preserve">the </w:t>
      </w:r>
      <w:r w:rsidRPr="00DE185C">
        <w:rPr>
          <w:rFonts w:ascii="Calibri" w:hAnsi="Calibri"/>
        </w:rPr>
        <w:t xml:space="preserve">use of alternative fuels and the deployment of alternative fuel vehicles in local fleets. </w:t>
      </w:r>
      <w:r w:rsidR="00BC785C">
        <w:rPr>
          <w:rFonts w:ascii="Calibri" w:hAnsi="Calibri"/>
        </w:rPr>
        <w:t>Figures 7-6</w:t>
      </w:r>
      <w:r w:rsidR="00DC273F" w:rsidRPr="00DE185C">
        <w:rPr>
          <w:rFonts w:ascii="Calibri" w:hAnsi="Calibri"/>
        </w:rPr>
        <w:t xml:space="preserve"> and </w:t>
      </w:r>
      <w:r w:rsidR="00BC785C">
        <w:rPr>
          <w:rFonts w:ascii="Calibri" w:hAnsi="Calibri"/>
        </w:rPr>
        <w:t>7-7</w:t>
      </w:r>
      <w:r w:rsidRPr="00DE185C">
        <w:rPr>
          <w:rFonts w:ascii="Calibri" w:hAnsi="Calibri"/>
        </w:rPr>
        <w:t xml:space="preserve"> depict the growth of alternative fuel vehicles in the region as well as the yearly gallons of gasoline equivalent reduced by </w:t>
      </w:r>
      <w:r w:rsidR="00B20AD4">
        <w:rPr>
          <w:rFonts w:ascii="Calibri" w:hAnsi="Calibri"/>
        </w:rPr>
        <w:t>SDRCCC stakeholders</w:t>
      </w:r>
      <w:r w:rsidR="006F7F0C">
        <w:rPr>
          <w:rFonts w:ascii="Calibri" w:hAnsi="Calibri"/>
        </w:rPr>
        <w:t xml:space="preserve"> </w:t>
      </w:r>
      <w:r w:rsidRPr="00DE185C">
        <w:rPr>
          <w:rFonts w:ascii="Calibri" w:hAnsi="Calibri"/>
        </w:rPr>
        <w:t>as a result of the adoption of alternative fuel vehicles.</w:t>
      </w:r>
      <w:r w:rsidRPr="00DE185C">
        <w:rPr>
          <w:rStyle w:val="FootnoteReference"/>
          <w:rFonts w:ascii="Calibri" w:hAnsi="Calibri"/>
        </w:rPr>
        <w:footnoteReference w:id="25"/>
      </w:r>
      <w:r w:rsidRPr="00DE185C">
        <w:rPr>
          <w:rFonts w:ascii="Calibri" w:hAnsi="Calibri"/>
        </w:rPr>
        <w:t xml:space="preserve"> </w:t>
      </w:r>
    </w:p>
    <w:p w:rsidR="00524127" w:rsidRPr="00DE185C" w:rsidRDefault="00524127" w:rsidP="007E5FED">
      <w:pPr>
        <w:pStyle w:val="Subtitle"/>
      </w:pPr>
      <w:bookmarkStart w:id="55" w:name="_Toc416259283"/>
      <w:r w:rsidRPr="00DE185C">
        <w:t xml:space="preserve">Figure </w:t>
      </w:r>
      <w:r w:rsidR="00D95E1A" w:rsidRPr="00DE185C">
        <w:t>7</w:t>
      </w:r>
      <w:r w:rsidR="0073269A" w:rsidRPr="00DE185C">
        <w:t>-</w:t>
      </w:r>
      <w:r w:rsidR="003A7EDC">
        <w:t>6</w:t>
      </w:r>
      <w:r w:rsidRPr="00DE185C">
        <w:t>: Number of Alternative Fuel Vehicles from SDRCCC Stakeholders</w:t>
      </w:r>
      <w:bookmarkEnd w:id="55"/>
    </w:p>
    <w:p w:rsidR="00524127" w:rsidRPr="00DE185C" w:rsidRDefault="000C40A8" w:rsidP="00524127">
      <w:pPr>
        <w:rPr>
          <w:rFonts w:ascii="Calibri" w:hAnsi="Calibri"/>
        </w:rPr>
      </w:pPr>
      <w:r w:rsidRPr="00DE185C">
        <w:rPr>
          <w:rFonts w:ascii="Calibri" w:hAnsi="Calibri"/>
          <w:noProof/>
          <w:lang w:eastAsia="zh-CN"/>
        </w:rPr>
        <w:drawing>
          <wp:inline distT="0" distB="0" distL="0" distR="0" wp14:anchorId="74C0CE8B" wp14:editId="23C0AF0C">
            <wp:extent cx="5943600" cy="2529205"/>
            <wp:effectExtent l="0" t="0" r="0" b="444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9426DA">
        <w:rPr>
          <w:rFonts w:ascii="Calibri" w:hAnsi="Calibri"/>
        </w:rPr>
        <w:t xml:space="preserve"> </w:t>
      </w:r>
    </w:p>
    <w:p w:rsidR="001215FB" w:rsidRPr="00DE185C" w:rsidRDefault="001C1800" w:rsidP="001215FB">
      <w:pPr>
        <w:rPr>
          <w:rFonts w:ascii="Calibri" w:hAnsi="Calibri"/>
        </w:rPr>
      </w:pPr>
      <w:r>
        <w:rPr>
          <w:rFonts w:ascii="Calibri" w:hAnsi="Calibri"/>
        </w:rPr>
        <w:t>Figure 7-</w:t>
      </w:r>
      <w:r w:rsidR="003A7EDC">
        <w:rPr>
          <w:rFonts w:ascii="Calibri" w:hAnsi="Calibri"/>
        </w:rPr>
        <w:t>7</w:t>
      </w:r>
      <w:r w:rsidR="00524127" w:rsidRPr="00DE185C">
        <w:rPr>
          <w:rFonts w:ascii="Calibri" w:hAnsi="Calibri"/>
        </w:rPr>
        <w:t xml:space="preserve"> depicts the </w:t>
      </w:r>
      <w:r w:rsidR="00874AAE" w:rsidRPr="00DE185C">
        <w:rPr>
          <w:rFonts w:ascii="Calibri" w:hAnsi="Calibri"/>
        </w:rPr>
        <w:t xml:space="preserve">number </w:t>
      </w:r>
      <w:r w:rsidR="00524127" w:rsidRPr="00DE185C">
        <w:rPr>
          <w:rFonts w:ascii="Calibri" w:hAnsi="Calibri"/>
        </w:rPr>
        <w:t>of gallons of gasoline equivalent reduced by SDRCCC stakeholders from 2011 to 201</w:t>
      </w:r>
      <w:r w:rsidR="000C40A8" w:rsidRPr="00DE185C">
        <w:rPr>
          <w:rFonts w:ascii="Calibri" w:hAnsi="Calibri"/>
        </w:rPr>
        <w:t>4</w:t>
      </w:r>
      <w:r w:rsidR="00524127" w:rsidRPr="00DE185C">
        <w:rPr>
          <w:rFonts w:ascii="Calibri" w:hAnsi="Calibri"/>
        </w:rPr>
        <w:t xml:space="preserve"> as a result of having adopted alternative fuel vehicles. </w:t>
      </w:r>
    </w:p>
    <w:p w:rsidR="001215FB" w:rsidRDefault="001215FB" w:rsidP="001215FB">
      <w:pPr>
        <w:rPr>
          <w:rFonts w:ascii="Calibri" w:hAnsi="Calibri"/>
        </w:rPr>
      </w:pPr>
    </w:p>
    <w:p w:rsidR="008C52C1" w:rsidRDefault="008C52C1" w:rsidP="001215FB">
      <w:pPr>
        <w:rPr>
          <w:rFonts w:ascii="Calibri" w:hAnsi="Calibri"/>
        </w:rPr>
      </w:pPr>
    </w:p>
    <w:p w:rsidR="008C52C1" w:rsidRDefault="008C52C1" w:rsidP="001215FB">
      <w:pPr>
        <w:rPr>
          <w:rFonts w:ascii="Calibri" w:hAnsi="Calibri"/>
        </w:rPr>
      </w:pPr>
    </w:p>
    <w:p w:rsidR="008C52C1" w:rsidRDefault="008C52C1" w:rsidP="001215FB">
      <w:pPr>
        <w:rPr>
          <w:rFonts w:ascii="Calibri" w:hAnsi="Calibri"/>
        </w:rPr>
      </w:pPr>
    </w:p>
    <w:p w:rsidR="008C52C1" w:rsidRDefault="008C52C1" w:rsidP="001215FB">
      <w:pPr>
        <w:rPr>
          <w:rFonts w:ascii="Calibri" w:hAnsi="Calibri"/>
        </w:rPr>
      </w:pPr>
    </w:p>
    <w:p w:rsidR="008C52C1" w:rsidRDefault="008C52C1" w:rsidP="001215FB">
      <w:pPr>
        <w:rPr>
          <w:rFonts w:ascii="Calibri" w:hAnsi="Calibri"/>
        </w:rPr>
      </w:pPr>
    </w:p>
    <w:p w:rsidR="008C52C1" w:rsidRPr="00DE185C" w:rsidRDefault="008C52C1" w:rsidP="001215FB">
      <w:pPr>
        <w:rPr>
          <w:rFonts w:ascii="Calibri" w:hAnsi="Calibri"/>
        </w:rPr>
      </w:pPr>
    </w:p>
    <w:p w:rsidR="00524127" w:rsidRPr="00DE185C" w:rsidRDefault="00524127" w:rsidP="007E5FED">
      <w:pPr>
        <w:pStyle w:val="Subtitle"/>
      </w:pPr>
      <w:bookmarkStart w:id="56" w:name="_Toc416259284"/>
      <w:r w:rsidRPr="00DE185C">
        <w:t xml:space="preserve">Figure </w:t>
      </w:r>
      <w:r w:rsidR="00D95E1A" w:rsidRPr="00DE185C">
        <w:t>7</w:t>
      </w:r>
      <w:r w:rsidR="0073269A" w:rsidRPr="00DE185C">
        <w:t>-</w:t>
      </w:r>
      <w:r w:rsidR="003A7EDC">
        <w:t>7</w:t>
      </w:r>
      <w:r w:rsidRPr="00DE185C">
        <w:t xml:space="preserve">: Yearly Gallons of Gasoline Equivalent Reduced by </w:t>
      </w:r>
      <w:r w:rsidR="00A50C05" w:rsidRPr="00DE185C">
        <w:t>SDRCCC</w:t>
      </w:r>
      <w:r w:rsidRPr="00DE185C">
        <w:t xml:space="preserve"> Stakeholders</w:t>
      </w:r>
      <w:bookmarkEnd w:id="56"/>
    </w:p>
    <w:p w:rsidR="00524127" w:rsidRPr="00DE185C" w:rsidRDefault="000C40A8" w:rsidP="00524127">
      <w:pPr>
        <w:rPr>
          <w:rFonts w:ascii="Calibri" w:hAnsi="Calibri"/>
        </w:rPr>
      </w:pPr>
      <w:r w:rsidRPr="00DE185C">
        <w:rPr>
          <w:rFonts w:ascii="Calibri" w:hAnsi="Calibri"/>
          <w:noProof/>
          <w:lang w:eastAsia="zh-CN"/>
        </w:rPr>
        <w:drawing>
          <wp:inline distT="0" distB="0" distL="0" distR="0" wp14:anchorId="6285FFB8" wp14:editId="49B01B5F">
            <wp:extent cx="5943600" cy="3249930"/>
            <wp:effectExtent l="0" t="0" r="0" b="762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C18DE" w:rsidRPr="00DE185C" w:rsidRDefault="006C18DE" w:rsidP="006C18DE">
      <w:pPr>
        <w:rPr>
          <w:rFonts w:ascii="Calibri" w:hAnsi="Calibri"/>
        </w:rPr>
      </w:pPr>
      <w:r w:rsidRPr="00DE185C">
        <w:rPr>
          <w:rFonts w:ascii="Calibri" w:hAnsi="Calibri"/>
        </w:rPr>
        <w:t xml:space="preserve">While the impetus for adopting each alternative fuel differs among fleets, </w:t>
      </w:r>
      <w:r w:rsidR="004D0EAC">
        <w:rPr>
          <w:rFonts w:ascii="Calibri" w:hAnsi="Calibri"/>
        </w:rPr>
        <w:t xml:space="preserve">the Fleet Survey identified </w:t>
      </w:r>
      <w:r w:rsidRPr="00DE185C">
        <w:rPr>
          <w:rFonts w:ascii="Calibri" w:hAnsi="Calibri"/>
        </w:rPr>
        <w:t xml:space="preserve">the following list of motivations from most important to least important: </w:t>
      </w:r>
    </w:p>
    <w:p w:rsidR="006C18DE" w:rsidRPr="00DE185C" w:rsidRDefault="006C18DE" w:rsidP="006C18DE">
      <w:pPr>
        <w:numPr>
          <w:ilvl w:val="0"/>
          <w:numId w:val="24"/>
        </w:numPr>
        <w:spacing w:after="0"/>
        <w:rPr>
          <w:rFonts w:ascii="Calibri" w:hAnsi="Calibri"/>
        </w:rPr>
      </w:pPr>
      <w:r w:rsidRPr="00DE185C">
        <w:rPr>
          <w:rFonts w:ascii="Calibri" w:hAnsi="Calibri"/>
        </w:rPr>
        <w:t xml:space="preserve">Size and types of vehicles I need are available </w:t>
      </w:r>
    </w:p>
    <w:p w:rsidR="006C18DE" w:rsidRPr="00DE185C" w:rsidRDefault="006C18DE" w:rsidP="006C18DE">
      <w:pPr>
        <w:numPr>
          <w:ilvl w:val="0"/>
          <w:numId w:val="24"/>
        </w:numPr>
        <w:spacing w:after="0"/>
        <w:rPr>
          <w:rFonts w:ascii="Calibri" w:hAnsi="Calibri"/>
        </w:rPr>
      </w:pPr>
      <w:r w:rsidRPr="00DE185C">
        <w:rPr>
          <w:rFonts w:ascii="Calibri" w:hAnsi="Calibri"/>
        </w:rPr>
        <w:t xml:space="preserve">I have access to fueling or charging </w:t>
      </w:r>
    </w:p>
    <w:p w:rsidR="006C18DE" w:rsidRPr="00DE185C" w:rsidRDefault="006C18DE" w:rsidP="006C18DE">
      <w:pPr>
        <w:numPr>
          <w:ilvl w:val="0"/>
          <w:numId w:val="24"/>
        </w:numPr>
        <w:spacing w:after="0"/>
        <w:rPr>
          <w:rFonts w:ascii="Calibri" w:hAnsi="Calibri"/>
        </w:rPr>
      </w:pPr>
      <w:r w:rsidRPr="00DE185C">
        <w:rPr>
          <w:rFonts w:ascii="Calibri" w:hAnsi="Calibri"/>
        </w:rPr>
        <w:t xml:space="preserve">Is a public benefit (reduced GHG, pollution, or petroleum) </w:t>
      </w:r>
    </w:p>
    <w:p w:rsidR="00567C6F" w:rsidRPr="00DE185C" w:rsidRDefault="006C18DE" w:rsidP="00567C6F">
      <w:pPr>
        <w:numPr>
          <w:ilvl w:val="0"/>
          <w:numId w:val="24"/>
        </w:numPr>
        <w:spacing w:after="0"/>
        <w:rPr>
          <w:rFonts w:ascii="Calibri" w:hAnsi="Calibri"/>
        </w:rPr>
      </w:pPr>
      <w:r w:rsidRPr="00DE185C">
        <w:rPr>
          <w:rFonts w:ascii="Calibri" w:hAnsi="Calibri"/>
        </w:rPr>
        <w:t>Driving range or p</w:t>
      </w:r>
      <w:r w:rsidR="00567C6F" w:rsidRPr="00DE185C">
        <w:rPr>
          <w:rFonts w:ascii="Calibri" w:hAnsi="Calibri"/>
        </w:rPr>
        <w:t xml:space="preserve">erformance meets fleet’s needs </w:t>
      </w:r>
    </w:p>
    <w:p w:rsidR="006C18DE" w:rsidRPr="00DE185C" w:rsidRDefault="006C18DE" w:rsidP="00567C6F">
      <w:pPr>
        <w:numPr>
          <w:ilvl w:val="0"/>
          <w:numId w:val="24"/>
        </w:numPr>
        <w:spacing w:after="0"/>
        <w:rPr>
          <w:rFonts w:ascii="Calibri" w:hAnsi="Calibri"/>
        </w:rPr>
      </w:pPr>
      <w:r w:rsidRPr="00DE185C">
        <w:rPr>
          <w:rFonts w:ascii="Calibri" w:hAnsi="Calibri"/>
        </w:rPr>
        <w:t>Can justify the cost of vehicle, fuel and ownersh</w:t>
      </w:r>
      <w:r w:rsidR="00567C6F" w:rsidRPr="00DE185C">
        <w:rPr>
          <w:rFonts w:ascii="Calibri" w:hAnsi="Calibri"/>
        </w:rPr>
        <w:t xml:space="preserve">ip (tie) </w:t>
      </w:r>
    </w:p>
    <w:p w:rsidR="006C18DE" w:rsidRPr="00DE185C" w:rsidRDefault="006C18DE" w:rsidP="006C18DE">
      <w:pPr>
        <w:numPr>
          <w:ilvl w:val="0"/>
          <w:numId w:val="24"/>
        </w:numPr>
        <w:spacing w:after="0"/>
        <w:rPr>
          <w:rFonts w:ascii="Calibri" w:hAnsi="Calibri"/>
        </w:rPr>
      </w:pPr>
      <w:r w:rsidRPr="00DE185C">
        <w:rPr>
          <w:rFonts w:ascii="Calibri" w:hAnsi="Calibri"/>
        </w:rPr>
        <w:t xml:space="preserve">Vehicles are reliable and </w:t>
      </w:r>
      <w:r w:rsidR="00567C6F" w:rsidRPr="00DE185C">
        <w:rPr>
          <w:rFonts w:ascii="Calibri" w:hAnsi="Calibri"/>
        </w:rPr>
        <w:t xml:space="preserve">maintenance is available (tie) </w:t>
      </w:r>
    </w:p>
    <w:p w:rsidR="006C18DE" w:rsidRPr="00DE185C" w:rsidRDefault="006C18DE" w:rsidP="006C18DE">
      <w:pPr>
        <w:numPr>
          <w:ilvl w:val="0"/>
          <w:numId w:val="24"/>
        </w:numPr>
        <w:spacing w:after="0"/>
        <w:rPr>
          <w:rFonts w:ascii="Calibri" w:hAnsi="Calibri"/>
        </w:rPr>
      </w:pPr>
      <w:r w:rsidRPr="00DE185C">
        <w:rPr>
          <w:rFonts w:ascii="Calibri" w:hAnsi="Calibri"/>
        </w:rPr>
        <w:t>Rebates and incentives are</w:t>
      </w:r>
      <w:r w:rsidR="00567C6F" w:rsidRPr="00DE185C">
        <w:rPr>
          <w:rFonts w:ascii="Calibri" w:hAnsi="Calibri"/>
        </w:rPr>
        <w:t xml:space="preserve"> available </w:t>
      </w:r>
    </w:p>
    <w:p w:rsidR="006C18DE" w:rsidRPr="00DE185C" w:rsidRDefault="006C18DE" w:rsidP="006C18DE">
      <w:pPr>
        <w:spacing w:after="0"/>
        <w:ind w:left="720"/>
        <w:rPr>
          <w:rFonts w:ascii="Calibri" w:hAnsi="Calibri"/>
        </w:rPr>
      </w:pPr>
    </w:p>
    <w:p w:rsidR="00D95E1A" w:rsidRPr="00DE185C" w:rsidRDefault="002F6555">
      <w:pPr>
        <w:rPr>
          <w:rFonts w:ascii="Calibri" w:hAnsi="Calibri"/>
        </w:rPr>
      </w:pPr>
      <w:r>
        <w:rPr>
          <w:rFonts w:ascii="Calibri" w:hAnsi="Calibri"/>
        </w:rPr>
        <w:t>Table 7-1 identifies the primary m</w:t>
      </w:r>
      <w:r w:rsidR="006C18DE" w:rsidRPr="00DE185C">
        <w:rPr>
          <w:rFonts w:ascii="Calibri" w:hAnsi="Calibri"/>
        </w:rPr>
        <w:t>otivation</w:t>
      </w:r>
      <w:r>
        <w:rPr>
          <w:rFonts w:ascii="Calibri" w:hAnsi="Calibri"/>
        </w:rPr>
        <w:t xml:space="preserve"> for adopting an alternative fuel based on fuel type</w:t>
      </w:r>
      <w:r w:rsidR="008729DD">
        <w:rPr>
          <w:rFonts w:ascii="Calibri" w:hAnsi="Calibri"/>
        </w:rPr>
        <w:t xml:space="preserve"> in a fleet</w:t>
      </w:r>
      <w:r w:rsidR="006C18DE" w:rsidRPr="00DE185C">
        <w:rPr>
          <w:rFonts w:ascii="Calibri" w:hAnsi="Calibri"/>
        </w:rPr>
        <w:t>. For instance, hybrid users cited the public benefit of these vehicles as the biggest motivator for adopting the fuel.</w:t>
      </w:r>
      <w:r w:rsidR="009426DA">
        <w:rPr>
          <w:rFonts w:ascii="Calibri" w:hAnsi="Calibri"/>
        </w:rPr>
        <w:t xml:space="preserve"> </w:t>
      </w:r>
    </w:p>
    <w:p w:rsidR="006C18DE" w:rsidRPr="00DE185C" w:rsidRDefault="006C18DE" w:rsidP="006C18DE">
      <w:pPr>
        <w:pStyle w:val="Subtitle"/>
        <w:rPr>
          <w:rStyle w:val="BookTitle"/>
          <w:rFonts w:ascii="Calibri" w:hAnsi="Calibri"/>
          <w:b/>
        </w:rPr>
      </w:pPr>
      <w:bookmarkStart w:id="57" w:name="_Toc416249427"/>
      <w:bookmarkStart w:id="58" w:name="_Toc416259285"/>
      <w:r w:rsidRPr="00DE185C">
        <w:rPr>
          <w:rStyle w:val="BookTitle"/>
          <w:rFonts w:ascii="Calibri" w:hAnsi="Calibri"/>
          <w:b/>
        </w:rPr>
        <w:t xml:space="preserve">Table </w:t>
      </w:r>
      <w:r w:rsidR="00D95E1A" w:rsidRPr="00DE185C">
        <w:rPr>
          <w:rStyle w:val="BookTitle"/>
          <w:rFonts w:ascii="Calibri" w:hAnsi="Calibri"/>
          <w:b/>
        </w:rPr>
        <w:t>7</w:t>
      </w:r>
      <w:r w:rsidRPr="00DE185C">
        <w:rPr>
          <w:rStyle w:val="BookTitle"/>
          <w:rFonts w:ascii="Calibri" w:hAnsi="Calibri"/>
          <w:b/>
        </w:rPr>
        <w:t xml:space="preserve">-1: Motivations for Adoption by Adopting </w:t>
      </w:r>
      <w:r w:rsidR="00E0093D">
        <w:rPr>
          <w:rStyle w:val="BookTitle"/>
          <w:rFonts w:ascii="Calibri" w:hAnsi="Calibri"/>
          <w:b/>
        </w:rPr>
        <w:t xml:space="preserve">Fleet </w:t>
      </w:r>
      <w:r w:rsidRPr="00DE185C">
        <w:rPr>
          <w:rStyle w:val="BookTitle"/>
          <w:rFonts w:ascii="Calibri" w:hAnsi="Calibri"/>
          <w:b/>
        </w:rPr>
        <w:t>Respondents</w:t>
      </w:r>
      <w:bookmarkEnd w:id="57"/>
      <w:bookmarkEnd w:id="58"/>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88"/>
        <w:gridCol w:w="7488"/>
      </w:tblGrid>
      <w:tr w:rsidR="000536AB" w:rsidRPr="00DE185C" w:rsidTr="000536AB">
        <w:tc>
          <w:tcPr>
            <w:tcW w:w="2088" w:type="dxa"/>
            <w:shd w:val="clear" w:color="auto" w:fill="314B5A"/>
          </w:tcPr>
          <w:p w:rsidR="006C18DE" w:rsidRPr="00DE185C" w:rsidRDefault="006C18DE" w:rsidP="00A605C0">
            <w:pPr>
              <w:rPr>
                <w:rFonts w:ascii="Calibri" w:hAnsi="Calibri"/>
                <w:b/>
                <w:color w:val="FFFFFF" w:themeColor="background1"/>
              </w:rPr>
            </w:pPr>
            <w:r w:rsidRPr="00DE185C">
              <w:rPr>
                <w:rFonts w:ascii="Calibri" w:hAnsi="Calibri"/>
                <w:b/>
                <w:color w:val="FFFFFF" w:themeColor="background1"/>
              </w:rPr>
              <w:t>Fuel Type</w:t>
            </w:r>
          </w:p>
        </w:tc>
        <w:tc>
          <w:tcPr>
            <w:tcW w:w="7488" w:type="dxa"/>
            <w:shd w:val="clear" w:color="auto" w:fill="314B5A"/>
          </w:tcPr>
          <w:p w:rsidR="006C18DE" w:rsidRPr="00DE185C" w:rsidRDefault="006C18DE" w:rsidP="00A605C0">
            <w:pPr>
              <w:rPr>
                <w:rFonts w:ascii="Calibri" w:hAnsi="Calibri"/>
                <w:b/>
                <w:color w:val="FFFFFF" w:themeColor="background1"/>
              </w:rPr>
            </w:pPr>
            <w:r w:rsidRPr="00DE185C">
              <w:rPr>
                <w:rFonts w:ascii="Calibri" w:hAnsi="Calibri"/>
                <w:b/>
                <w:color w:val="FFFFFF" w:themeColor="background1"/>
              </w:rPr>
              <w:t>Most important motivation</w:t>
            </w:r>
          </w:p>
        </w:tc>
      </w:tr>
      <w:tr w:rsidR="006C18DE" w:rsidRPr="00DE185C" w:rsidTr="000536AB">
        <w:tc>
          <w:tcPr>
            <w:tcW w:w="2088" w:type="dxa"/>
            <w:shd w:val="clear" w:color="auto" w:fill="B6DDE8" w:themeFill="accent5" w:themeFillTint="66"/>
          </w:tcPr>
          <w:p w:rsidR="006C18DE" w:rsidRPr="00DE185C" w:rsidRDefault="006C18DE" w:rsidP="00A605C0">
            <w:pPr>
              <w:rPr>
                <w:rFonts w:ascii="Calibri" w:hAnsi="Calibri"/>
              </w:rPr>
            </w:pPr>
            <w:r w:rsidRPr="00DE185C">
              <w:rPr>
                <w:rFonts w:ascii="Calibri" w:hAnsi="Calibri"/>
              </w:rPr>
              <w:t>Hybrid</w:t>
            </w:r>
          </w:p>
        </w:tc>
        <w:tc>
          <w:tcPr>
            <w:tcW w:w="7488" w:type="dxa"/>
            <w:shd w:val="clear" w:color="auto" w:fill="B6DDE8" w:themeFill="accent5" w:themeFillTint="66"/>
          </w:tcPr>
          <w:p w:rsidR="006C18DE" w:rsidRPr="00DE185C" w:rsidRDefault="006C18DE" w:rsidP="00A605C0">
            <w:pPr>
              <w:rPr>
                <w:rFonts w:ascii="Calibri" w:hAnsi="Calibri"/>
              </w:rPr>
            </w:pPr>
            <w:r w:rsidRPr="00DE185C">
              <w:rPr>
                <w:rFonts w:ascii="Calibri" w:hAnsi="Calibri"/>
              </w:rPr>
              <w:t xml:space="preserve">Is a public benefit (reduced GHG, pollution, or petroleum) </w:t>
            </w:r>
          </w:p>
        </w:tc>
      </w:tr>
      <w:tr w:rsidR="006C18DE" w:rsidRPr="00DE185C" w:rsidTr="000536AB">
        <w:tc>
          <w:tcPr>
            <w:tcW w:w="2088" w:type="dxa"/>
            <w:shd w:val="clear" w:color="auto" w:fill="DAEEF3" w:themeFill="accent5" w:themeFillTint="33"/>
          </w:tcPr>
          <w:p w:rsidR="006C18DE" w:rsidRPr="00DE185C" w:rsidRDefault="006C18DE" w:rsidP="00A605C0">
            <w:pPr>
              <w:rPr>
                <w:rFonts w:ascii="Calibri" w:hAnsi="Calibri"/>
              </w:rPr>
            </w:pPr>
            <w:r w:rsidRPr="00DE185C">
              <w:rPr>
                <w:rFonts w:ascii="Calibri" w:hAnsi="Calibri"/>
              </w:rPr>
              <w:t>Propane</w:t>
            </w:r>
          </w:p>
        </w:tc>
        <w:tc>
          <w:tcPr>
            <w:tcW w:w="7488" w:type="dxa"/>
            <w:shd w:val="clear" w:color="auto" w:fill="DAEEF3" w:themeFill="accent5" w:themeFillTint="33"/>
          </w:tcPr>
          <w:p w:rsidR="006C18DE" w:rsidRPr="00DE185C" w:rsidRDefault="006C18DE" w:rsidP="00A605C0">
            <w:pPr>
              <w:rPr>
                <w:rFonts w:ascii="Calibri" w:hAnsi="Calibri"/>
              </w:rPr>
            </w:pPr>
            <w:r w:rsidRPr="00DE185C">
              <w:rPr>
                <w:rFonts w:ascii="Calibri" w:hAnsi="Calibri"/>
              </w:rPr>
              <w:t>I have access to fueling or charging</w:t>
            </w:r>
          </w:p>
        </w:tc>
      </w:tr>
      <w:tr w:rsidR="006C18DE" w:rsidRPr="00DE185C" w:rsidTr="000536AB">
        <w:tc>
          <w:tcPr>
            <w:tcW w:w="2088" w:type="dxa"/>
            <w:shd w:val="clear" w:color="auto" w:fill="B6DDE8" w:themeFill="accent5" w:themeFillTint="66"/>
          </w:tcPr>
          <w:p w:rsidR="006C18DE" w:rsidRPr="00DE185C" w:rsidRDefault="006C18DE" w:rsidP="00A605C0">
            <w:pPr>
              <w:rPr>
                <w:rFonts w:ascii="Calibri" w:hAnsi="Calibri"/>
              </w:rPr>
            </w:pPr>
            <w:r w:rsidRPr="00DE185C">
              <w:rPr>
                <w:rFonts w:ascii="Calibri" w:hAnsi="Calibri"/>
              </w:rPr>
              <w:t>Natural Gas</w:t>
            </w:r>
          </w:p>
        </w:tc>
        <w:tc>
          <w:tcPr>
            <w:tcW w:w="7488" w:type="dxa"/>
            <w:shd w:val="clear" w:color="auto" w:fill="B6DDE8" w:themeFill="accent5" w:themeFillTint="66"/>
          </w:tcPr>
          <w:p w:rsidR="006C18DE" w:rsidRPr="00DE185C" w:rsidRDefault="006C18DE" w:rsidP="00A605C0">
            <w:pPr>
              <w:rPr>
                <w:rFonts w:ascii="Calibri" w:hAnsi="Calibri"/>
              </w:rPr>
            </w:pPr>
            <w:r w:rsidRPr="00DE185C">
              <w:rPr>
                <w:rFonts w:ascii="Calibri" w:hAnsi="Calibri"/>
              </w:rPr>
              <w:t>Size and types of vehicles I need are available</w:t>
            </w:r>
          </w:p>
        </w:tc>
      </w:tr>
      <w:tr w:rsidR="006C18DE" w:rsidRPr="00DE185C" w:rsidTr="000536AB">
        <w:tc>
          <w:tcPr>
            <w:tcW w:w="2088" w:type="dxa"/>
            <w:shd w:val="clear" w:color="auto" w:fill="DAEEF3" w:themeFill="accent5" w:themeFillTint="33"/>
          </w:tcPr>
          <w:p w:rsidR="006C18DE" w:rsidRPr="00DE185C" w:rsidRDefault="006C18DE" w:rsidP="00A605C0">
            <w:pPr>
              <w:rPr>
                <w:rFonts w:ascii="Calibri" w:hAnsi="Calibri"/>
              </w:rPr>
            </w:pPr>
            <w:r w:rsidRPr="00DE185C">
              <w:rPr>
                <w:rFonts w:ascii="Calibri" w:hAnsi="Calibri"/>
              </w:rPr>
              <w:t>Biodiesel</w:t>
            </w:r>
          </w:p>
        </w:tc>
        <w:tc>
          <w:tcPr>
            <w:tcW w:w="7488" w:type="dxa"/>
            <w:shd w:val="clear" w:color="auto" w:fill="DAEEF3" w:themeFill="accent5" w:themeFillTint="33"/>
          </w:tcPr>
          <w:p w:rsidR="006C18DE" w:rsidRPr="00DE185C" w:rsidRDefault="006C18DE" w:rsidP="00A605C0">
            <w:pPr>
              <w:rPr>
                <w:rFonts w:ascii="Calibri" w:hAnsi="Calibri"/>
              </w:rPr>
            </w:pPr>
            <w:r w:rsidRPr="00DE185C">
              <w:rPr>
                <w:rFonts w:ascii="Calibri" w:hAnsi="Calibri"/>
              </w:rPr>
              <w:t>Driving range or performance meets fleet’s needs</w:t>
            </w:r>
          </w:p>
        </w:tc>
      </w:tr>
      <w:tr w:rsidR="006C18DE" w:rsidRPr="00DE185C" w:rsidTr="000536AB">
        <w:tc>
          <w:tcPr>
            <w:tcW w:w="2088" w:type="dxa"/>
            <w:shd w:val="clear" w:color="auto" w:fill="B6DDE8" w:themeFill="accent5" w:themeFillTint="66"/>
          </w:tcPr>
          <w:p w:rsidR="006C18DE" w:rsidRPr="00DE185C" w:rsidRDefault="006C18DE" w:rsidP="00A605C0">
            <w:pPr>
              <w:rPr>
                <w:rFonts w:ascii="Calibri" w:hAnsi="Calibri"/>
              </w:rPr>
            </w:pPr>
            <w:r w:rsidRPr="00DE185C">
              <w:rPr>
                <w:rFonts w:ascii="Calibri" w:hAnsi="Calibri"/>
              </w:rPr>
              <w:t xml:space="preserve">Plug-in Hybrid </w:t>
            </w:r>
          </w:p>
        </w:tc>
        <w:tc>
          <w:tcPr>
            <w:tcW w:w="7488" w:type="dxa"/>
            <w:shd w:val="clear" w:color="auto" w:fill="B6DDE8" w:themeFill="accent5" w:themeFillTint="66"/>
          </w:tcPr>
          <w:p w:rsidR="006C18DE" w:rsidRPr="00DE185C" w:rsidRDefault="006C18DE" w:rsidP="00A605C0">
            <w:pPr>
              <w:rPr>
                <w:rFonts w:ascii="Calibri" w:hAnsi="Calibri"/>
              </w:rPr>
            </w:pPr>
            <w:r w:rsidRPr="00DE185C">
              <w:rPr>
                <w:rFonts w:ascii="Calibri" w:hAnsi="Calibri"/>
              </w:rPr>
              <w:t>Driving range or performance meets fleet’s needs</w:t>
            </w:r>
          </w:p>
        </w:tc>
      </w:tr>
    </w:tbl>
    <w:p w:rsidR="006C18DE" w:rsidRPr="00DE185C" w:rsidRDefault="002F6555" w:rsidP="006C18DE">
      <w:pPr>
        <w:rPr>
          <w:rFonts w:ascii="Calibri" w:hAnsi="Calibri"/>
        </w:rPr>
      </w:pPr>
      <w:r w:rsidRPr="00DE185C">
        <w:rPr>
          <w:rFonts w:ascii="Calibri" w:hAnsi="Calibri"/>
        </w:rPr>
        <w:t>Th</w:t>
      </w:r>
      <w:r>
        <w:rPr>
          <w:rFonts w:ascii="Calibri" w:hAnsi="Calibri"/>
        </w:rPr>
        <w:t>e</w:t>
      </w:r>
      <w:r w:rsidRPr="00DE185C">
        <w:rPr>
          <w:rFonts w:ascii="Calibri" w:hAnsi="Calibri"/>
        </w:rPr>
        <w:t xml:space="preserve"> respondents </w:t>
      </w:r>
      <w:r>
        <w:rPr>
          <w:rFonts w:ascii="Calibri" w:hAnsi="Calibri"/>
        </w:rPr>
        <w:t xml:space="preserve">that </w:t>
      </w:r>
      <w:r w:rsidRPr="00DE185C">
        <w:rPr>
          <w:rFonts w:ascii="Calibri" w:hAnsi="Calibri"/>
        </w:rPr>
        <w:t xml:space="preserve">have adopted alternative fuel vehicles, </w:t>
      </w:r>
      <w:r>
        <w:rPr>
          <w:rFonts w:ascii="Calibri" w:hAnsi="Calibri"/>
        </w:rPr>
        <w:t xml:space="preserve">also expressed that </w:t>
      </w:r>
      <w:r w:rsidRPr="00DE185C">
        <w:rPr>
          <w:rFonts w:ascii="Calibri" w:hAnsi="Calibri"/>
        </w:rPr>
        <w:t>their biggest challenges or concerns in adding more alternative fuels to their fleet include</w:t>
      </w:r>
      <w:r>
        <w:rPr>
          <w:rFonts w:ascii="Calibri" w:hAnsi="Calibri"/>
        </w:rPr>
        <w:t>d</w:t>
      </w:r>
      <w:r w:rsidRPr="00DE185C">
        <w:rPr>
          <w:rFonts w:ascii="Calibri" w:hAnsi="Calibri"/>
        </w:rPr>
        <w:t xml:space="preserve"> cost, fuel availability, range, and public participation. </w:t>
      </w:r>
      <w:r w:rsidR="006C18DE" w:rsidRPr="00DE185C">
        <w:rPr>
          <w:rFonts w:ascii="Calibri" w:hAnsi="Calibri"/>
        </w:rPr>
        <w:t>Alternatively, the most common reason for respondents to have</w:t>
      </w:r>
      <w:r w:rsidR="006C18DE" w:rsidRPr="00DE185C">
        <w:rPr>
          <w:rFonts w:ascii="Calibri" w:hAnsi="Calibri"/>
          <w:i/>
        </w:rPr>
        <w:t xml:space="preserve"> not </w:t>
      </w:r>
      <w:r w:rsidR="006C18DE" w:rsidRPr="00DE185C">
        <w:rPr>
          <w:rFonts w:ascii="Calibri" w:hAnsi="Calibri"/>
        </w:rPr>
        <w:t>adopted alternative fuel vehicles in their fleets was because they could not justify the cost of the vehicle, fuel, and ownership of an alternative fuel vehicle</w:t>
      </w:r>
      <w:r>
        <w:rPr>
          <w:rFonts w:ascii="Calibri" w:hAnsi="Calibri"/>
        </w:rPr>
        <w:t>,</w:t>
      </w:r>
      <w:r w:rsidR="006C18DE" w:rsidRPr="00DE185C">
        <w:rPr>
          <w:rFonts w:ascii="Calibri" w:hAnsi="Calibri"/>
        </w:rPr>
        <w:t xml:space="preserve"> or that the size and types of vehicles needed are not available. Respondents noted that they feared alternative fuel vehicles would be unreliable or range-limited. However, zero respondents cited range</w:t>
      </w:r>
      <w:r w:rsidR="007F7B03">
        <w:rPr>
          <w:rFonts w:ascii="Calibri" w:hAnsi="Calibri"/>
        </w:rPr>
        <w:t xml:space="preserve"> limitations</w:t>
      </w:r>
      <w:r w:rsidR="006C18DE" w:rsidRPr="00DE185C">
        <w:rPr>
          <w:rFonts w:ascii="Calibri" w:hAnsi="Calibri"/>
        </w:rPr>
        <w:t xml:space="preserve"> or performance as a reason for not adopting an alternative fuel.</w:t>
      </w:r>
    </w:p>
    <w:p w:rsidR="00D35E15" w:rsidRPr="00DE185C" w:rsidRDefault="001B3DF5" w:rsidP="00D95E1A">
      <w:pPr>
        <w:rPr>
          <w:rFonts w:ascii="Calibri" w:hAnsi="Calibri"/>
        </w:rPr>
      </w:pPr>
      <w:r>
        <w:rPr>
          <w:rFonts w:ascii="Calibri" w:hAnsi="Calibri"/>
        </w:rPr>
        <w:t xml:space="preserve">One sector that has seen wide adoption of alternative fuels is public transit. </w:t>
      </w:r>
      <w:r w:rsidR="00524127" w:rsidRPr="00DE185C">
        <w:rPr>
          <w:rFonts w:ascii="Calibri" w:hAnsi="Calibri"/>
        </w:rPr>
        <w:t>More than 35</w:t>
      </w:r>
      <w:r w:rsidR="005D6853">
        <w:rPr>
          <w:rFonts w:ascii="Calibri" w:hAnsi="Calibri"/>
        </w:rPr>
        <w:t xml:space="preserve"> percent</w:t>
      </w:r>
      <w:r w:rsidR="00524127" w:rsidRPr="00DE185C">
        <w:rPr>
          <w:rFonts w:ascii="Calibri" w:hAnsi="Calibri"/>
        </w:rPr>
        <w:t xml:space="preserve"> of U.S. public transit buses use alternative fuels or hybrid technology.</w:t>
      </w:r>
      <w:r w:rsidR="00524127" w:rsidRPr="00DE185C">
        <w:rPr>
          <w:rStyle w:val="FootnoteReference"/>
          <w:rFonts w:ascii="Calibri" w:hAnsi="Calibri"/>
        </w:rPr>
        <w:footnoteReference w:id="26"/>
      </w:r>
      <w:r w:rsidR="00524127" w:rsidRPr="00DE185C">
        <w:rPr>
          <w:rFonts w:ascii="Calibri" w:hAnsi="Calibri"/>
        </w:rPr>
        <w:t xml:space="preserve"> Nationwide, new bus orders are close to 50</w:t>
      </w:r>
      <w:r w:rsidR="005D6853">
        <w:rPr>
          <w:rFonts w:ascii="Calibri" w:hAnsi="Calibri"/>
        </w:rPr>
        <w:t xml:space="preserve"> percent</w:t>
      </w:r>
      <w:r w:rsidR="00524127" w:rsidRPr="00DE185C">
        <w:rPr>
          <w:rFonts w:ascii="Calibri" w:hAnsi="Calibri"/>
        </w:rPr>
        <w:t xml:space="preserve"> CNG</w:t>
      </w:r>
      <w:r w:rsidR="000C40A8" w:rsidRPr="00DE185C">
        <w:rPr>
          <w:rFonts w:ascii="Calibri" w:hAnsi="Calibri"/>
        </w:rPr>
        <w:t xml:space="preserve"> and there are over 10,000 natural gas refuse trucks with more than 55</w:t>
      </w:r>
      <w:r w:rsidR="005D6853">
        <w:rPr>
          <w:rFonts w:ascii="Calibri" w:hAnsi="Calibri"/>
        </w:rPr>
        <w:t xml:space="preserve"> percent</w:t>
      </w:r>
      <w:r w:rsidR="000C40A8" w:rsidRPr="00DE185C">
        <w:rPr>
          <w:rFonts w:ascii="Calibri" w:hAnsi="Calibri"/>
        </w:rPr>
        <w:t xml:space="preserve"> having been new orders</w:t>
      </w:r>
      <w:r w:rsidR="00524127" w:rsidRPr="00DE185C">
        <w:rPr>
          <w:rFonts w:ascii="Calibri" w:hAnsi="Calibri"/>
        </w:rPr>
        <w:t>. In the San Diego region, nearly 90</w:t>
      </w:r>
      <w:r w:rsidR="005D6853">
        <w:rPr>
          <w:rFonts w:ascii="Calibri" w:hAnsi="Calibri"/>
        </w:rPr>
        <w:t xml:space="preserve"> percent</w:t>
      </w:r>
      <w:r w:rsidR="00524127" w:rsidRPr="00DE185C">
        <w:rPr>
          <w:rFonts w:ascii="Calibri" w:hAnsi="Calibri"/>
        </w:rPr>
        <w:t xml:space="preserve"> of transit buses use CNG. </w:t>
      </w:r>
      <w:bookmarkStart w:id="59" w:name="_Toc410636703"/>
    </w:p>
    <w:p w:rsidR="00524127" w:rsidRPr="00DE185C" w:rsidRDefault="0073269A" w:rsidP="00524127">
      <w:pPr>
        <w:pStyle w:val="Heading1"/>
        <w:rPr>
          <w:rFonts w:ascii="Calibri" w:hAnsi="Calibri"/>
        </w:rPr>
      </w:pPr>
      <w:bookmarkStart w:id="60" w:name="_Toc416259253"/>
      <w:r w:rsidRPr="00DE185C">
        <w:rPr>
          <w:rFonts w:ascii="Calibri" w:hAnsi="Calibri"/>
        </w:rPr>
        <w:t xml:space="preserve">8. </w:t>
      </w:r>
      <w:r w:rsidR="00524127" w:rsidRPr="00DE185C">
        <w:rPr>
          <w:rFonts w:ascii="Calibri" w:hAnsi="Calibri"/>
        </w:rPr>
        <w:t>Incentives</w:t>
      </w:r>
      <w:bookmarkEnd w:id="59"/>
      <w:bookmarkEnd w:id="60"/>
      <w:r w:rsidR="00524127" w:rsidRPr="00DE185C">
        <w:rPr>
          <w:rFonts w:ascii="Calibri" w:hAnsi="Calibri"/>
        </w:rPr>
        <w:t xml:space="preserve"> </w:t>
      </w:r>
    </w:p>
    <w:p w:rsidR="00524127" w:rsidRPr="00DE185C" w:rsidRDefault="008C52C1"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14048" behindDoc="0" locked="0" layoutInCell="1" allowOverlap="1" wp14:anchorId="448C41A8" wp14:editId="53BFA225">
                <wp:simplePos x="0" y="0"/>
                <wp:positionH relativeFrom="column">
                  <wp:posOffset>3803650</wp:posOffset>
                </wp:positionH>
                <wp:positionV relativeFrom="paragraph">
                  <wp:posOffset>437515</wp:posOffset>
                </wp:positionV>
                <wp:extent cx="2423795" cy="2230120"/>
                <wp:effectExtent l="0" t="0" r="0" b="0"/>
                <wp:wrapSquare wrapText="bothSides"/>
                <wp:docPr id="34" name="Group 34"/>
                <wp:cNvGraphicFramePr/>
                <a:graphic xmlns:a="http://schemas.openxmlformats.org/drawingml/2006/main">
                  <a:graphicData uri="http://schemas.microsoft.com/office/word/2010/wordprocessingGroup">
                    <wpg:wgp>
                      <wpg:cNvGrpSpPr/>
                      <wpg:grpSpPr>
                        <a:xfrm>
                          <a:off x="0" y="0"/>
                          <a:ext cx="2423795" cy="2230120"/>
                          <a:chOff x="-1" y="-13958"/>
                          <a:chExt cx="3230282" cy="1637495"/>
                        </a:xfrm>
                      </wpg:grpSpPr>
                      <wps:wsp>
                        <wps:cNvPr id="35" name="Text Box 2"/>
                        <wps:cNvSpPr txBox="1">
                          <a:spLocks noChangeArrowheads="1"/>
                        </wps:cNvSpPr>
                        <wps:spPr bwMode="auto">
                          <a:xfrm>
                            <a:off x="116958" y="364828"/>
                            <a:ext cx="3113323" cy="1142155"/>
                          </a:xfrm>
                          <a:prstGeom prst="rect">
                            <a:avLst/>
                          </a:prstGeom>
                          <a:noFill/>
                          <a:ln w="9525">
                            <a:noFill/>
                            <a:miter lim="800000"/>
                            <a:headEnd/>
                            <a:tailEnd/>
                          </a:ln>
                        </wps:spPr>
                        <wps:txbx>
                          <w:txbxContent>
                            <w:p w:rsidR="006909BC" w:rsidRPr="00A15524" w:rsidRDefault="006909BC" w:rsidP="00A15524">
                              <w:pPr>
                                <w:pStyle w:val="CVText"/>
                                <w:spacing w:line="240" w:lineRule="auto"/>
                                <w:ind w:right="360"/>
                                <w:jc w:val="center"/>
                                <w:rPr>
                                  <w:rFonts w:ascii="Calibri" w:hAnsi="Calibri"/>
                                  <w:b/>
                                  <w:i/>
                                  <w:color w:val="005997"/>
                                  <w:sz w:val="28"/>
                                  <w:szCs w:val="28"/>
                                  <w:lang w:val="en-US"/>
                                </w:rPr>
                              </w:pPr>
                              <w:r w:rsidRPr="00E77F83">
                                <w:rPr>
                                  <w:rFonts w:ascii="Calibri" w:hAnsi="Calibri"/>
                                  <w:b/>
                                  <w:i/>
                                  <w:color w:val="005997"/>
                                  <w:sz w:val="28"/>
                                  <w:szCs w:val="28"/>
                                  <w:lang w:val="en-US"/>
                                </w:rPr>
                                <w:t xml:space="preserve">Since </w:t>
                              </w:r>
                              <w:r>
                                <w:rPr>
                                  <w:rFonts w:ascii="Calibri" w:hAnsi="Calibri"/>
                                  <w:b/>
                                  <w:i/>
                                  <w:color w:val="005997"/>
                                  <w:sz w:val="28"/>
                                  <w:szCs w:val="28"/>
                                  <w:lang w:val="en-US"/>
                                </w:rPr>
                                <w:t>2010, fleets in San Diego County have received over $4.8 million in funds to procure over 165 clean air vehicles</w:t>
                              </w:r>
                            </w:p>
                          </w:txbxContent>
                        </wps:txbx>
                        <wps:bodyPr rot="0" vert="horz" wrap="square" lIns="91440" tIns="45720" rIns="91440" bIns="45720" anchor="t" anchorCtr="0">
                          <a:noAutofit/>
                        </wps:bodyPr>
                      </wps:wsp>
                      <pic:pic xmlns:pic="http://schemas.openxmlformats.org/drawingml/2006/picture">
                        <pic:nvPicPr>
                          <pic:cNvPr id="36" name="Picture 8" descr="3mm_Frame_CV_19April2010-01_Top.png"/>
                          <pic:cNvPicPr>
                            <a:picLocks noChangeAspect="1"/>
                          </pic:cNvPicPr>
                        </pic:nvPicPr>
                        <pic:blipFill rotWithShape="1">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13958"/>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7" name="Picture 8" descr="3mm_Frame_CV_19April2010-01_Top.png"/>
                          <pic:cNvPicPr>
                            <a:picLocks noChangeAspect="1"/>
                          </pic:cNvPicPr>
                        </pic:nvPicPr>
                        <pic:blipFill rotWithShape="1">
                          <a:blip r:embed="rId38"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1" y="1296470"/>
                            <a:ext cx="3051545" cy="3270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4" o:spid="_x0000_s1047" style="position:absolute;margin-left:299.5pt;margin-top:34.45pt;width:190.85pt;height:175.6pt;z-index:251714048;mso-width-relative:margin;mso-height-relative:margin" coordorigin=",-139" coordsize="32302,16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Lq52wQAAOQOAAAOAAAAZHJzL2Uyb0RvYy54bWzsV99v2zYQfh+w/0HQ&#10;u2JRP20hTuHYSVCgXYM12x4DmqItoZLIkXTkbNj/vjtSch0nwIq02FMK1KFI8Xj33XffUefv9m3j&#10;PXCla9HNfXIW+h7vmCjrbjv3f7u7Dqa+pw3tStqIjs/9R679dxc//3Tey4JHohJNyZUHRjpd9HLu&#10;V8bIYjLRrOIt1WdC8g4WN0K11MCj2k5KRXuw3jaTKAyzSS9UKZVgXGuYXblF/8La32w4M582G82N&#10;18x98M3YX2V/1/g7uTinxVZRWdVscIO+wouW1h0cejC1ooZ6O1U/M9XWTAktNuaMiXYiNpuacRsD&#10;REPCk2hulNhJG8u26LfyABNAe4LTq82yXx5ulVeXcz9OfK+jLeTIHuvBM4DTy20B79wo+VneqmFi&#10;654w3v1GtfgXIvH2FtbHA6x8bzwGk1ESxfks9T0Ga1EUhyQagGcVZAf3BcT3YDEg8SyduqSw6mrY&#10;H8OWaBq5/SSL8wSMgSuT8fgJenlwqpdAJf0VLf19aH2uqOQ2CRqRGNGCcBxadxjmpdh7kcPLvoVg&#10;eWYP01AUlhhafhDsi/Y6saxot+ULpURfcVqCe8RGg37DAbgVcdeFRiPr/qMoISl0Z4Q1dII4IRlC&#10;hujFWTKNBvRG7GNCYsBvwI4kEUmfYkcLqbS54aL1cDD3FdSMPYg+fNDGwTy+gpnuxHXdNDBPi6bz&#10;+rk/S6PUbjhaaWsDZd3U7dyfhvjP5RTjvepKu9nQunFjyGPTQTrHmF30Zr/eW2LmI65rUT4CIkq4&#10;KgbVgUEl1F++10MFz339544q7nvN+w5QnZEkwZK3D0maA+k8dbyyPl6hHQNTc9/4nhsujZUJF/IC&#10;0N/UFg300nkyuAxcuziXNSvg/1CiMHpGuv+WMthldui/k8P2m2y0VH3ZyQDURFJTr+umNo9WGSEl&#10;6FT3cFszZBQ+HPE3G/kLy3iqBxwquWYQdNy299cKpOB++fs9mS2kqhtUpyAk93dCnsluiykZDTrz&#10;wKOanVBcS+DSSO+nr0/w8Ylv66aWyCzM7x+1qWzdjdWDiwMs4OCJ+L2ArBPWlWC7lnfGdQrFG0BI&#10;dLqqpQYqFLxd8xII/74E9WHQpQzUGQTbOf6XO2GgZyEBbDviy0Z5DxQaCWUMrDrS64qW3E0n6YHo&#10;mhooWzdN4nEeiH6whGaxrA5G+wpqxgoBLY6OhkKGMsS3saRtS/k7mi7CcBZdBss0XAZJmF8Fi1mS&#10;B3l4lSdhMiVLsvwHS5IkxU5zyAptVrIeAITZZxC+2D+GTus6k+1wLiBbzBALOGRFeHQRpjBPFjDF&#10;foXcY9eNEmgswIIgzfMcSxBlPgM1X8/9JM8ypwzaKG5YhXKDzBjJ4Fj2TUIIpk86CAKG/ScOs4jk&#10;udPAJMnSzEoKuDtq6ahvr5FADPegfGATpcxi8yxtKQg0pC0LFotVHiTJahpcXsJoubyaJTHJkvTq&#10;kDakleg/rTWD2iy/P3MI7AsZQ6wR3QF2eHSIw2A4E0bP2PJCwZ3cymDX/ydlkFnXim/fpKzEa9Kb&#10;lJ3esH+MlAXZDC8UT7Qsz3+QlLl7DQmH+xKKyHCpHi7HJJplCSiovT191baUpMlwt46jPHzTtqFh&#10;2j5yqm32SwE+pawaDp99+K12/Azj44/Ti3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yxWC34gAAAAoBAAAPAAAAZHJzL2Rvd25yZXYueG1sTI9BS8NAFITvgv9h&#10;eYI3u5tqaxLzUkpRT6VgK4i31+Q1Cc3uhuw2Sf+960mPwwwz32SrSbdi4N411iBEMwWCTWHLxlQI&#10;n4e3hxiE82RKaq1hhCs7WOW3NxmlpR3NBw97X4lQYlxKCLX3XSqlK2rW5Ga2YxO8k+01+SD7SpY9&#10;jaFct3Ku1FJqakxYqKnjTc3FeX/RCO8jjevH6HXYnk+b6/dhsfvaRox4fzetX0B4nvxfGH7xAzrk&#10;geloL6Z0okVYJEn44hGWcQIiBJJYPYM4IjzNVQQyz+T/C/kPAAAA//8DAFBLAwQKAAAAAAAAACEA&#10;FqRS8PgBAAD4AQAAFAAAAGRycy9tZWRpYS9pbWFnZTEucG5niVBORw0KGgoAAAANSUhEUgAAAuIA&#10;AABGCAIAAAAGk2a5AAAAAXNSR0IArs4c6QAAAARnQU1BAACxjwv8YQUAAAAJcEhZcwAAIdUAACHV&#10;AQSctJ0AAAGNSURBVHhe7dYhboRgFEbR7n8h3RMOgcSRmkmAjvgnmaSKCU2uOMc89T59v74BADK2&#10;bTtfZAoAECJTAIAomQIARMkUACBKpgAAUTIFAIiSKQBAlEwBAKJkCgAQJVMAgCiZAgBEyRQAIEqm&#10;AABRMgUAiJIpAECUTAEAomQKABAlUwCAKJkCAETJFAAgSqYAAFEyBQCIuidTpmn6AQD4Y1mWkQvX&#10;3ZMp8zyPDQCAN+u6jly4TqYAAP9IpgAAUTIFAIiSKQBAlEwBAKJkCgAQJVMAgCiZAgBEyRQAIEqm&#10;AABRMgUAiJIpAECUTAEAomQKABAlUwCAKJkCAETJFAAgSqYAAFEyBQCIkikAQJRMAQCiZAoAECVT&#10;AIAomQIARMkUACBKpgAAUTIFAIiSKQBAlEwBAKJkCgAQJVMAgCiZAgBEyRQAIEqmAABRMgUAiJIp&#10;AECUTAEAomQKABAlUwCAqNsy5fGpfd/HBgDAm+M4Ri5c9/wdK89MGRcAIEamAABRMgUAiJIpAECU&#10;TAEAks7zF9gFkFmIiVc3AAAAAElFTkSuQmCCUEsDBAoAAAAAAAAAIQASXbenwAEAAMABAAAUAAAA&#10;ZHJzL21lZGlhL2ltYWdlMi5wbmeJUE5HDQoaCgAAAA1JSERSAAACJwAAAEYIAgAAAJgFo1wAAAAB&#10;c1JHQgCuzhzpAAAABGdBTUEAALGPC/xhBQAAAAlwSFlzAAAh1QAAIdUBBJy0nQAAAVVJREFUeF7t&#10;1bGNgwAQRUH3X4j7ISIgogiSkwAjQwGcLb9oJtlkf/weTwD4sWVZ9jfVAeDnVAeAjuoA0FEdADqq&#10;A0BHdQDoqA4AHdUBoKM6AHRUB4CO6gDQUR0AOqoDQEd1AOioDgAd1QGgozoAdFQHgI7qANBRHQA6&#10;qgNAR3UA6HxSnWEYjhkAHKZpuvJww/H/7+qM43huAGCe5ysPN6gOAF9RHQA6qgNAR3UA6KgOAB3V&#10;AaCjOgB0VAeAjuoA0FEdADqqA0BHdQDoqA4AHdUBoKM6AHRUB4CO6gDQUR0AOqoDQEd1AOioDgAd&#10;1QGgozoAdFQHgI7qANBRHQA6qgNAR3UA6KgOAB3VAaCjOgB0VAeAjuoA0FEdADqqA0BHdQDoqA4A&#10;HdUBoKM6AHQ+rM7fbeu6nhsA2LbtysMNx/O5epwHAAKqA0BHdQDoqA4AHdUBoLLvL0H44niqP2Sh&#10;AAAAAElFTkSuQmCCUEsBAi0AFAAGAAgAAAAhALGCZ7YKAQAAEwIAABMAAAAAAAAAAAAAAAAAAAAA&#10;AFtDb250ZW50X1R5cGVzXS54bWxQSwECLQAUAAYACAAAACEAOP0h/9YAAACUAQAACwAAAAAAAAAA&#10;AAAAAAA7AQAAX3JlbHMvLnJlbHNQSwECLQAUAAYACAAAACEAjUS6udsEAADkDgAADgAAAAAAAAAA&#10;AAAAAAA6AgAAZHJzL2Uyb0RvYy54bWxQSwECLQAUAAYACAAAACEALmzwAMUAAAClAQAAGQAAAAAA&#10;AAAAAAAAAABBBwAAZHJzL19yZWxzL2Uyb0RvYy54bWwucmVsc1BLAQItABQABgAIAAAAIQAyxWC3&#10;4gAAAAoBAAAPAAAAAAAAAAAAAAAAAD0IAABkcnMvZG93bnJldi54bWxQSwECLQAKAAAAAAAAACEA&#10;FqRS8PgBAAD4AQAAFAAAAAAAAAAAAAAAAABMCQAAZHJzL21lZGlhL2ltYWdlMS5wbmdQSwECLQAK&#10;AAAAAAAAACEAEl23p8ABAADAAQAAFAAAAAAAAAAAAAAAAAB2CwAAZHJzL21lZGlhL2ltYWdlMi5w&#10;bmdQSwUGAAAAAAcABwC+AQAAaA0AAAAA&#10;">
                <v:shape id="_x0000_s1048" type="#_x0000_t202" style="position:absolute;left:1169;top:3648;width:31133;height:1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6909BC" w:rsidRPr="00A15524" w:rsidRDefault="006909BC" w:rsidP="00A15524">
                        <w:pPr>
                          <w:pStyle w:val="CVText"/>
                          <w:spacing w:line="240" w:lineRule="auto"/>
                          <w:ind w:right="360"/>
                          <w:jc w:val="center"/>
                          <w:rPr>
                            <w:rFonts w:ascii="Calibri" w:hAnsi="Calibri"/>
                            <w:b/>
                            <w:i/>
                            <w:color w:val="005997"/>
                            <w:sz w:val="28"/>
                            <w:szCs w:val="28"/>
                            <w:lang w:val="en-US"/>
                          </w:rPr>
                        </w:pPr>
                        <w:r w:rsidRPr="00E77F83">
                          <w:rPr>
                            <w:rFonts w:ascii="Calibri" w:hAnsi="Calibri"/>
                            <w:b/>
                            <w:i/>
                            <w:color w:val="005997"/>
                            <w:sz w:val="28"/>
                            <w:szCs w:val="28"/>
                            <w:lang w:val="en-US"/>
                          </w:rPr>
                          <w:t xml:space="preserve">Since </w:t>
                        </w:r>
                        <w:r>
                          <w:rPr>
                            <w:rFonts w:ascii="Calibri" w:hAnsi="Calibri"/>
                            <w:b/>
                            <w:i/>
                            <w:color w:val="005997"/>
                            <w:sz w:val="28"/>
                            <w:szCs w:val="28"/>
                            <w:lang w:val="en-US"/>
                          </w:rPr>
                          <w:t>2010, fleets in San Diego County have received over $4.8 million in funds to procure over 165 clean air vehicles</w:t>
                        </w:r>
                      </w:p>
                    </w:txbxContent>
                  </v:textbox>
                </v:shape>
                <v:shape id="Picture 8" o:spid="_x0000_s1049" type="#_x0000_t75" alt="3mm_Frame_CV_19April2010-01_Top.png" style="position:absolute;top:-139;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NvjzEAAAA2wAAAA8AAABkcnMvZG93bnJldi54bWxEj0+LwjAUxO+C3yE8wZumKsjSNYqIguLB&#10;fwu7x2fzbIvNS22iVj/9RhA8DjPzG2Y0qU0hblS53LKCXjcCQZxYnXOq4Oew6HyBcB5ZY2GZFDzI&#10;wWTcbIww1vbOO7rtfSoChF2MCjLvy1hKl2Rk0HVtSRy8k60M+iCrVOoK7wFuCtmPoqE0mHNYyLCk&#10;WUbJeX81Ctbp35V6m9XsQv3f+XaxW1+e7qhUu1VPv0F4qv0n/G4vtYLBEF5fwg+Q4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NvjzEAAAA2wAAAA8AAAAAAAAAAAAAAAAA&#10;nwIAAGRycy9kb3ducmV2LnhtbFBLBQYAAAAABAAEAPcAAACQAwAAAAA=&#10;">
                  <v:imagedata r:id="rId25" o:title="3mm_Frame_CV_19April2010-01_Top" croptop="-37860f" cropbottom="3123f" cropleft="160f" cropright="-106f" recolortarget="#1d4f5c [1448]"/>
                  <v:path arrowok="t"/>
                </v:shape>
                <v:shape id="Picture 8" o:spid="_x0000_s1050" type="#_x0000_t75" alt="3mm_Frame_CV_19April2010-01_Top.png" style="position:absolute;top:12964;width:30515;height:3271;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dyV3CAAAA2wAAAA8AAABkcnMvZG93bnJldi54bWxEj09rAjEUxO8Fv0N4grea1YKVrVGKrNCb&#10;9Q+en5vXTejmZUmirt/eFIQeh5n5DbNY9a4VVwrRelYwGRcgiGuvLTcKjofN6xxETMgaW8+k4E4R&#10;VsvBywJL7W+8o+s+NSJDOJaowKTUlVLG2pDDOPYdcfZ+fHCYsgyN1AFvGe5aOS2KmXRoOS8Y7Ght&#10;qP7dX5yCqjvIaTTr2fZyst/2HKr2GCqlRsP+8wNEoj79h5/tL63g7R3+vuQfIJ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XcldwgAAANsAAAAPAAAAAAAAAAAAAAAAAJ8C&#10;AABkcnMvZG93bnJldi54bWxQSwUGAAAAAAQABAD3AAAAjgMAAAAA&#10;">
                  <v:imagedata r:id="rId39" o:title="3mm_Frame_CV_19April2010-01_Top" croptop="-37860f" cropbottom="3123f" cropleft="-452f" cropright="506f" recolortarget="#1d4f5c [1448]"/>
                  <v:path arrowok="t"/>
                </v:shape>
                <w10:wrap type="square"/>
              </v:group>
            </w:pict>
          </mc:Fallback>
        </mc:AlternateContent>
      </w:r>
      <w:r w:rsidR="00741DD2">
        <w:rPr>
          <w:rFonts w:ascii="Calibri" w:hAnsi="Calibri"/>
        </w:rPr>
        <w:t>Incentives are important in order to advance the advanced technology market. Not only do they encourage nascent markets grow when start-up costs are prohibitive, but i</w:t>
      </w:r>
      <w:r w:rsidR="00524127" w:rsidRPr="00DE185C">
        <w:rPr>
          <w:rFonts w:ascii="Calibri" w:hAnsi="Calibri"/>
        </w:rPr>
        <w:t xml:space="preserve">ncentives encourage the adoption of new, clean technology vehicles. </w:t>
      </w:r>
      <w:r w:rsidR="00741DD2">
        <w:rPr>
          <w:rFonts w:ascii="Calibri" w:hAnsi="Calibri"/>
        </w:rPr>
        <w:t xml:space="preserve">Government involvement allows society at-large to reap the benefits of a clean vehicle market. </w:t>
      </w:r>
      <w:r w:rsidR="00524127" w:rsidRPr="00DE185C">
        <w:rPr>
          <w:rFonts w:ascii="Calibri" w:hAnsi="Calibri"/>
        </w:rPr>
        <w:t xml:space="preserve">In California, there are several such incentives available to obtain clean technology vehicles. </w:t>
      </w:r>
    </w:p>
    <w:p w:rsidR="00524127" w:rsidRPr="00DE185C" w:rsidRDefault="00524127" w:rsidP="00524127">
      <w:pPr>
        <w:pStyle w:val="Heading2"/>
        <w:rPr>
          <w:rFonts w:ascii="Calibri" w:hAnsi="Calibri"/>
        </w:rPr>
      </w:pPr>
      <w:bookmarkStart w:id="61" w:name="_Toc410636704"/>
      <w:bookmarkStart w:id="62" w:name="_Toc416259254"/>
      <w:r w:rsidRPr="00DE185C">
        <w:rPr>
          <w:rFonts w:ascii="Calibri" w:hAnsi="Calibri"/>
        </w:rPr>
        <w:t>Heavy-Duty Vehicles</w:t>
      </w:r>
      <w:bookmarkEnd w:id="61"/>
      <w:bookmarkEnd w:id="62"/>
    </w:p>
    <w:p w:rsidR="00524127" w:rsidRPr="00DE185C" w:rsidRDefault="00524127" w:rsidP="00524127">
      <w:pPr>
        <w:rPr>
          <w:rFonts w:ascii="Calibri" w:hAnsi="Calibri"/>
        </w:rPr>
      </w:pPr>
      <w:r w:rsidRPr="00DE185C">
        <w:rPr>
          <w:rFonts w:ascii="Calibri" w:hAnsi="Calibri"/>
        </w:rPr>
        <w:t xml:space="preserve">In 2008, the California Air Resources Board (ARB) adopted </w:t>
      </w:r>
      <w:r w:rsidR="00586012" w:rsidRPr="00DE185C">
        <w:rPr>
          <w:rFonts w:ascii="Calibri" w:hAnsi="Calibri"/>
        </w:rPr>
        <w:t xml:space="preserve">the </w:t>
      </w:r>
      <w:r w:rsidRPr="00DE185C">
        <w:rPr>
          <w:rFonts w:ascii="Calibri" w:hAnsi="Calibri"/>
        </w:rPr>
        <w:t xml:space="preserve">California Statewide Truck and Bus Rule, requiring all heavy-duty </w:t>
      </w:r>
      <w:r w:rsidR="00586012" w:rsidRPr="00DE185C">
        <w:rPr>
          <w:rFonts w:ascii="Calibri" w:hAnsi="Calibri"/>
        </w:rPr>
        <w:t xml:space="preserve">diesel </w:t>
      </w:r>
      <w:r w:rsidRPr="00DE185C">
        <w:rPr>
          <w:rFonts w:ascii="Calibri" w:hAnsi="Calibri"/>
        </w:rPr>
        <w:t xml:space="preserve">trucks and buses retrofit or replace engines by 2023 to reduce emissions. To achieve </w:t>
      </w:r>
      <w:r w:rsidR="007C326F" w:rsidRPr="00DE185C">
        <w:rPr>
          <w:rFonts w:ascii="Calibri" w:hAnsi="Calibri"/>
        </w:rPr>
        <w:t xml:space="preserve">this </w:t>
      </w:r>
      <w:r w:rsidRPr="00DE185C">
        <w:rPr>
          <w:rFonts w:ascii="Calibri" w:hAnsi="Calibri"/>
        </w:rPr>
        <w:t>goal and lessen the financial burden, several programs in California, such as the California Hybrid and Zero-Emission Truck and Bus Voucher Incentive Project, Carl Moyer Program, and Proposition 1B Goods Movement Emission Reduction Program, provide fleets with incentives to replace or retrofit old heavy-duty diesel vehicles and engines.</w:t>
      </w:r>
      <w:r w:rsidR="009426DA">
        <w:rPr>
          <w:rFonts w:ascii="Calibri" w:hAnsi="Calibri"/>
        </w:rPr>
        <w:t xml:space="preserve"> </w:t>
      </w:r>
    </w:p>
    <w:p w:rsidR="00524127" w:rsidRPr="00DE185C" w:rsidRDefault="00524127" w:rsidP="00524127">
      <w:pPr>
        <w:pStyle w:val="Heading3"/>
        <w:rPr>
          <w:rFonts w:ascii="Calibri" w:hAnsi="Calibri"/>
        </w:rPr>
      </w:pPr>
      <w:bookmarkStart w:id="63" w:name="_Toc410636705"/>
      <w:bookmarkStart w:id="64" w:name="_Toc416259255"/>
      <w:r w:rsidRPr="00DE185C">
        <w:rPr>
          <w:rFonts w:ascii="Calibri" w:hAnsi="Calibri"/>
        </w:rPr>
        <w:t>Hybrid and Zero-Emission Truck and Bus Voucher Incentive Project</w:t>
      </w:r>
      <w:bookmarkEnd w:id="63"/>
      <w:bookmarkEnd w:id="64"/>
    </w:p>
    <w:p w:rsidR="001215FB" w:rsidRPr="00DE185C" w:rsidRDefault="00524127" w:rsidP="00524127">
      <w:pPr>
        <w:rPr>
          <w:rFonts w:ascii="Calibri" w:hAnsi="Calibri"/>
        </w:rPr>
      </w:pPr>
      <w:r w:rsidRPr="00DE185C">
        <w:rPr>
          <w:rFonts w:ascii="Calibri" w:hAnsi="Calibri"/>
        </w:rPr>
        <w:t xml:space="preserve">The California Hybrid and Zero-Emission Truck and Bus Voucher Incentive Project (HVIP) provide vouchers to facilitate the procurement of low-carbon hybrid and electric trucks and buses. Vouchers range from $8,000 to $45,000, but </w:t>
      </w:r>
      <w:r w:rsidR="00586012" w:rsidRPr="00DE185C">
        <w:rPr>
          <w:rFonts w:ascii="Calibri" w:hAnsi="Calibri"/>
        </w:rPr>
        <w:t xml:space="preserve">incentive </w:t>
      </w:r>
      <w:r w:rsidRPr="00DE185C">
        <w:rPr>
          <w:rFonts w:ascii="Calibri" w:hAnsi="Calibri"/>
        </w:rPr>
        <w:t>levels can reach up to $65,000 for certain qualified vehicles</w:t>
      </w:r>
      <w:r w:rsidR="00586012" w:rsidRPr="00DE185C">
        <w:rPr>
          <w:rFonts w:ascii="Calibri" w:hAnsi="Calibri"/>
        </w:rPr>
        <w:t xml:space="preserve"> and fleets</w:t>
      </w:r>
      <w:r w:rsidRPr="00DE185C">
        <w:rPr>
          <w:rFonts w:ascii="Calibri" w:hAnsi="Calibri"/>
        </w:rPr>
        <w:t>. Since 2010, fleets in San Diego County have received over $4.8 million in funds to procu</w:t>
      </w:r>
      <w:r w:rsidR="001215FB" w:rsidRPr="00DE185C">
        <w:rPr>
          <w:rFonts w:ascii="Calibri" w:hAnsi="Calibri"/>
        </w:rPr>
        <w:t>re over 165 clean air vehicles.</w:t>
      </w:r>
    </w:p>
    <w:p w:rsidR="00524127" w:rsidRPr="00DE185C" w:rsidRDefault="00524127" w:rsidP="007E5FED">
      <w:pPr>
        <w:pStyle w:val="Subtitle"/>
      </w:pPr>
      <w:bookmarkStart w:id="65" w:name="_Toc416259286"/>
      <w:r w:rsidRPr="00DE185C">
        <w:t xml:space="preserve">Figure </w:t>
      </w:r>
      <w:r w:rsidR="0073269A" w:rsidRPr="00DE185C">
        <w:t>8-1</w:t>
      </w:r>
      <w:r w:rsidRPr="00DE185C">
        <w:t>: Number of HVIP Vouc</w:t>
      </w:r>
      <w:r w:rsidR="001215FB" w:rsidRPr="00DE185C">
        <w:t>hers</w:t>
      </w:r>
      <w:r w:rsidR="001215FB" w:rsidRPr="00DE185C">
        <w:br/>
      </w:r>
      <w:r w:rsidRPr="00DE185C">
        <w:t>San Diego County, 2010-2014</w:t>
      </w:r>
      <w:bookmarkEnd w:id="65"/>
    </w:p>
    <w:p w:rsidR="00524127" w:rsidRPr="00DE185C" w:rsidRDefault="00524127" w:rsidP="00524127">
      <w:pPr>
        <w:jc w:val="center"/>
        <w:rPr>
          <w:rFonts w:ascii="Calibri" w:hAnsi="Calibri"/>
        </w:rPr>
      </w:pPr>
      <w:r w:rsidRPr="00DE185C">
        <w:rPr>
          <w:rFonts w:ascii="Calibri" w:hAnsi="Calibri"/>
          <w:noProof/>
          <w:lang w:eastAsia="zh-CN"/>
        </w:rPr>
        <w:drawing>
          <wp:inline distT="0" distB="0" distL="0" distR="0" wp14:anchorId="276CAE6D" wp14:editId="0F6C42AC">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24127" w:rsidRPr="00DE185C" w:rsidRDefault="00524127" w:rsidP="00524127">
      <w:pPr>
        <w:pStyle w:val="Heading3"/>
        <w:rPr>
          <w:rFonts w:ascii="Calibri" w:hAnsi="Calibri"/>
        </w:rPr>
      </w:pPr>
      <w:bookmarkStart w:id="66" w:name="_Toc410636706"/>
      <w:bookmarkStart w:id="67" w:name="_Toc416259256"/>
      <w:r w:rsidRPr="00DE185C">
        <w:rPr>
          <w:rFonts w:ascii="Calibri" w:hAnsi="Calibri"/>
        </w:rPr>
        <w:t>San Diego County Air Pollution Control District</w:t>
      </w:r>
      <w:bookmarkEnd w:id="66"/>
      <w:bookmarkEnd w:id="67"/>
    </w:p>
    <w:p w:rsidR="00524127" w:rsidRPr="00DE185C" w:rsidRDefault="00524127" w:rsidP="00524127">
      <w:pPr>
        <w:rPr>
          <w:rFonts w:ascii="Calibri" w:hAnsi="Calibri"/>
        </w:rPr>
      </w:pPr>
      <w:r w:rsidRPr="00DE185C">
        <w:rPr>
          <w:rFonts w:ascii="Calibri" w:hAnsi="Calibri"/>
        </w:rPr>
        <w:t xml:space="preserve">The </w:t>
      </w:r>
      <w:r w:rsidR="001C0FF1" w:rsidRPr="00DE185C">
        <w:rPr>
          <w:rFonts w:ascii="Calibri" w:hAnsi="Calibri"/>
        </w:rPr>
        <w:t>SDAPCD</w:t>
      </w:r>
      <w:r w:rsidRPr="00DE185C">
        <w:rPr>
          <w:rFonts w:ascii="Calibri" w:hAnsi="Calibri"/>
        </w:rPr>
        <w:t xml:space="preserve"> </w:t>
      </w:r>
      <w:r w:rsidR="00586012" w:rsidRPr="00DE185C">
        <w:rPr>
          <w:rFonts w:ascii="Calibri" w:hAnsi="Calibri"/>
        </w:rPr>
        <w:t xml:space="preserve">administers </w:t>
      </w:r>
      <w:r w:rsidRPr="00DE185C">
        <w:rPr>
          <w:rFonts w:ascii="Calibri" w:hAnsi="Calibri"/>
        </w:rPr>
        <w:t xml:space="preserve">funding for two heavy-duty vehicle programs, </w:t>
      </w:r>
      <w:r w:rsidR="0009310B" w:rsidRPr="00DE185C">
        <w:rPr>
          <w:rFonts w:ascii="Calibri" w:hAnsi="Calibri"/>
        </w:rPr>
        <w:t xml:space="preserve">Proposition 1B Goods Movement Emission Reduction Program (GMERP) and </w:t>
      </w:r>
      <w:r w:rsidRPr="00DE185C">
        <w:rPr>
          <w:rFonts w:ascii="Calibri" w:hAnsi="Calibri"/>
        </w:rPr>
        <w:t>Carl Moyer Voucher Incentive Program (VIP)</w:t>
      </w:r>
      <w:r w:rsidR="0009310B" w:rsidRPr="00DE185C">
        <w:rPr>
          <w:rFonts w:ascii="Calibri" w:hAnsi="Calibri"/>
        </w:rPr>
        <w:t>.</w:t>
      </w:r>
      <w:r w:rsidRPr="00DE185C">
        <w:rPr>
          <w:rFonts w:ascii="Calibri" w:hAnsi="Calibri"/>
        </w:rPr>
        <w:t xml:space="preserve"> </w:t>
      </w:r>
    </w:p>
    <w:p w:rsidR="008C52C1" w:rsidRDefault="00524127" w:rsidP="00524127">
      <w:pPr>
        <w:rPr>
          <w:rFonts w:ascii="Calibri" w:hAnsi="Calibri"/>
        </w:rPr>
      </w:pPr>
      <w:r w:rsidRPr="00DE185C">
        <w:rPr>
          <w:rFonts w:ascii="Calibri" w:hAnsi="Calibri"/>
        </w:rPr>
        <w:t xml:space="preserve">GMERP is a partnership between ARB and local </w:t>
      </w:r>
      <w:r w:rsidR="0009310B" w:rsidRPr="00DE185C">
        <w:rPr>
          <w:rFonts w:ascii="Calibri" w:hAnsi="Calibri"/>
        </w:rPr>
        <w:t>air districts</w:t>
      </w:r>
      <w:r w:rsidRPr="00DE185C">
        <w:rPr>
          <w:rFonts w:ascii="Calibri" w:hAnsi="Calibri"/>
        </w:rPr>
        <w:t xml:space="preserve"> to quickly reduce air pollution emissions and health risk from freight movement along California’s trade corridors. Projects funded under this program must achieve early or extra emission reductions not otherwise required by law or regulation. Eligible applications include owners of heavy-duty diesel trucks used in freight movement to upgrade to cleaner technologies. Since 2009, the San Diego region has benefitted from over $22.6 million in funds for truck replacements, retrofits, and repower from GMERP. </w:t>
      </w:r>
    </w:p>
    <w:p w:rsidR="008C52C1" w:rsidRDefault="008C52C1">
      <w:pPr>
        <w:rPr>
          <w:rFonts w:ascii="Calibri" w:hAnsi="Calibri"/>
        </w:rPr>
      </w:pPr>
      <w:r>
        <w:rPr>
          <w:rFonts w:ascii="Calibri" w:hAnsi="Calibri"/>
        </w:rPr>
        <w:br w:type="page"/>
      </w:r>
    </w:p>
    <w:p w:rsidR="00524127" w:rsidRPr="00DE185C" w:rsidRDefault="00524127" w:rsidP="00C768E1">
      <w:pPr>
        <w:pStyle w:val="Heading5"/>
        <w:rPr>
          <w:rStyle w:val="BookTitle"/>
          <w:rFonts w:ascii="Calibri" w:hAnsi="Calibri"/>
          <w:b/>
          <w:bCs w:val="0"/>
          <w:spacing w:val="0"/>
          <w:sz w:val="24"/>
        </w:rPr>
      </w:pPr>
      <w:bookmarkStart w:id="68" w:name="_Toc416259322"/>
      <w:r w:rsidRPr="00DE185C">
        <w:rPr>
          <w:rStyle w:val="BookTitle"/>
          <w:rFonts w:ascii="Calibri" w:hAnsi="Calibri"/>
          <w:b/>
          <w:bCs w:val="0"/>
          <w:spacing w:val="0"/>
          <w:sz w:val="24"/>
        </w:rPr>
        <w:t xml:space="preserve">Table </w:t>
      </w:r>
      <w:r w:rsidR="0073269A" w:rsidRPr="00DE185C">
        <w:rPr>
          <w:rStyle w:val="BookTitle"/>
          <w:rFonts w:ascii="Calibri" w:hAnsi="Calibri"/>
          <w:b/>
          <w:bCs w:val="0"/>
          <w:spacing w:val="0"/>
          <w:sz w:val="24"/>
        </w:rPr>
        <w:t>8-1</w:t>
      </w:r>
      <w:r w:rsidRPr="00DE185C">
        <w:rPr>
          <w:rStyle w:val="BookTitle"/>
          <w:rFonts w:ascii="Calibri" w:hAnsi="Calibri"/>
          <w:b/>
          <w:bCs w:val="0"/>
          <w:spacing w:val="0"/>
          <w:sz w:val="24"/>
        </w:rPr>
        <w:t>: Proposition 1B Goods Movement Emis</w:t>
      </w:r>
      <w:r w:rsidR="009954AF" w:rsidRPr="00DE185C">
        <w:rPr>
          <w:rStyle w:val="BookTitle"/>
          <w:rFonts w:ascii="Calibri" w:hAnsi="Calibri"/>
          <w:b/>
          <w:bCs w:val="0"/>
          <w:spacing w:val="0"/>
          <w:sz w:val="24"/>
        </w:rPr>
        <w:t>sions Reduction Program Projects</w:t>
      </w:r>
      <w:r w:rsidR="008E772D" w:rsidRPr="00DE185C">
        <w:rPr>
          <w:rStyle w:val="BookTitle"/>
          <w:rFonts w:ascii="Calibri" w:hAnsi="Calibri"/>
          <w:b/>
          <w:bCs w:val="0"/>
          <w:spacing w:val="0"/>
          <w:sz w:val="24"/>
        </w:rPr>
        <w:t xml:space="preserve"> in the San Diego Region</w:t>
      </w:r>
      <w:bookmarkEnd w:id="68"/>
    </w:p>
    <w:tbl>
      <w:tblPr>
        <w:tblW w:w="746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20"/>
        <w:gridCol w:w="960"/>
        <w:gridCol w:w="960"/>
        <w:gridCol w:w="986"/>
        <w:gridCol w:w="960"/>
      </w:tblGrid>
      <w:tr w:rsidR="00524127" w:rsidRPr="00DE185C" w:rsidTr="008C5E54">
        <w:trPr>
          <w:trHeight w:val="255"/>
          <w:jc w:val="center"/>
        </w:trPr>
        <w:tc>
          <w:tcPr>
            <w:tcW w:w="362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GMERP</w:t>
            </w:r>
          </w:p>
        </w:tc>
        <w:tc>
          <w:tcPr>
            <w:tcW w:w="96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Diesel</w:t>
            </w:r>
          </w:p>
        </w:tc>
        <w:tc>
          <w:tcPr>
            <w:tcW w:w="96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CNG</w:t>
            </w:r>
          </w:p>
        </w:tc>
        <w:tc>
          <w:tcPr>
            <w:tcW w:w="96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Propane</w:t>
            </w:r>
          </w:p>
        </w:tc>
        <w:tc>
          <w:tcPr>
            <w:tcW w:w="96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Total</w:t>
            </w:r>
          </w:p>
        </w:tc>
      </w:tr>
      <w:tr w:rsidR="00524127" w:rsidRPr="00DE185C" w:rsidTr="002E1FA2">
        <w:trPr>
          <w:trHeight w:val="255"/>
          <w:jc w:val="center"/>
        </w:trPr>
        <w:tc>
          <w:tcPr>
            <w:tcW w:w="362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Truck Replacement</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434</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20</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454</w:t>
            </w:r>
          </w:p>
        </w:tc>
      </w:tr>
      <w:tr w:rsidR="00524127" w:rsidRPr="00DE185C" w:rsidTr="002E1FA2">
        <w:trPr>
          <w:trHeight w:val="255"/>
          <w:jc w:val="center"/>
        </w:trPr>
        <w:tc>
          <w:tcPr>
            <w:tcW w:w="3620" w:type="dxa"/>
            <w:shd w:val="clear" w:color="auto" w:fill="DAEEF3" w:themeFill="accent5" w:themeFillTint="33"/>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Truck Repower</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47</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47</w:t>
            </w:r>
          </w:p>
        </w:tc>
      </w:tr>
      <w:tr w:rsidR="00524127" w:rsidRPr="00DE185C" w:rsidTr="002E1FA2">
        <w:trPr>
          <w:trHeight w:val="255"/>
          <w:jc w:val="center"/>
        </w:trPr>
        <w:tc>
          <w:tcPr>
            <w:tcW w:w="362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Retrofit w/ Diesel Particulate Filter</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70</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70</w:t>
            </w:r>
          </w:p>
        </w:tc>
      </w:tr>
      <w:tr w:rsidR="00524127" w:rsidRPr="00DE185C" w:rsidTr="002E1FA2">
        <w:trPr>
          <w:trHeight w:val="255"/>
          <w:jc w:val="center"/>
        </w:trPr>
        <w:tc>
          <w:tcPr>
            <w:tcW w:w="3620" w:type="dxa"/>
            <w:shd w:val="clear" w:color="auto" w:fill="DAEEF3" w:themeFill="accent5" w:themeFillTint="33"/>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Marine Repower</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3</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60" w:type="dxa"/>
            <w:shd w:val="clear" w:color="auto" w:fill="DAEEF3" w:themeFill="accent5" w:themeFillTint="33"/>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3</w:t>
            </w:r>
          </w:p>
        </w:tc>
      </w:tr>
      <w:tr w:rsidR="00524127" w:rsidRPr="00DE185C" w:rsidTr="002E1FA2">
        <w:trPr>
          <w:trHeight w:val="255"/>
          <w:jc w:val="center"/>
        </w:trPr>
        <w:tc>
          <w:tcPr>
            <w:tcW w:w="362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 xml:space="preserve">Total </w:t>
            </w:r>
          </w:p>
        </w:tc>
        <w:tc>
          <w:tcPr>
            <w:tcW w:w="96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 </w:t>
            </w:r>
          </w:p>
        </w:tc>
        <w:tc>
          <w:tcPr>
            <w:tcW w:w="96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 </w:t>
            </w:r>
          </w:p>
        </w:tc>
        <w:tc>
          <w:tcPr>
            <w:tcW w:w="96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 </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b/>
                <w:bCs/>
              </w:rPr>
            </w:pPr>
            <w:r w:rsidRPr="00DE185C">
              <w:rPr>
                <w:rFonts w:ascii="Calibri" w:eastAsia="Times New Roman" w:hAnsi="Calibri" w:cs="Arial"/>
                <w:b/>
                <w:bCs/>
              </w:rPr>
              <w:t>574</w:t>
            </w:r>
          </w:p>
        </w:tc>
      </w:tr>
    </w:tbl>
    <w:p w:rsidR="00524127" w:rsidRPr="00DE185C" w:rsidRDefault="00524127" w:rsidP="00524127">
      <w:pPr>
        <w:rPr>
          <w:rFonts w:ascii="Calibri" w:hAnsi="Calibri"/>
        </w:rPr>
      </w:pPr>
    </w:p>
    <w:p w:rsidR="00524127" w:rsidRPr="00DE185C" w:rsidRDefault="00524127" w:rsidP="00524127">
      <w:pPr>
        <w:rPr>
          <w:rFonts w:ascii="Calibri" w:hAnsi="Calibri"/>
        </w:rPr>
      </w:pPr>
      <w:r w:rsidRPr="00DE185C">
        <w:rPr>
          <w:rFonts w:ascii="Calibri" w:hAnsi="Calibri"/>
        </w:rPr>
        <w:t>VIP provides funding for equipment replacement, engine repowers, engine</w:t>
      </w:r>
      <w:r w:rsidR="009D2CE6" w:rsidRPr="00DE185C">
        <w:rPr>
          <w:rFonts w:ascii="Calibri" w:hAnsi="Calibri"/>
        </w:rPr>
        <w:t xml:space="preserve"> retrofits, and new purchases. </w:t>
      </w:r>
      <w:r w:rsidRPr="00DE185C">
        <w:rPr>
          <w:rFonts w:ascii="Calibri" w:hAnsi="Calibri"/>
        </w:rPr>
        <w:t xml:space="preserve">Yearly VIP funding amounts are around $3 million. The VIP provides a streamlined approach to reduce emissions by replacing existing, high-polluting vehicles with newer, lower-emission vehicles or by installing a Verified Diesel Emission Control Strategy (VDECS or “retrofit”). </w:t>
      </w:r>
      <w:r w:rsidR="007742F8" w:rsidRPr="00DE185C">
        <w:rPr>
          <w:rFonts w:ascii="Calibri" w:hAnsi="Calibri"/>
        </w:rPr>
        <w:t xml:space="preserve">Table </w:t>
      </w:r>
      <w:r w:rsidR="00AF5C40" w:rsidRPr="00DE185C">
        <w:rPr>
          <w:rFonts w:ascii="Calibri" w:hAnsi="Calibri"/>
        </w:rPr>
        <w:t>8-2</w:t>
      </w:r>
      <w:r w:rsidR="007742F8" w:rsidRPr="00DE185C">
        <w:rPr>
          <w:rFonts w:ascii="Calibri" w:hAnsi="Calibri"/>
        </w:rPr>
        <w:t xml:space="preserve"> </w:t>
      </w:r>
      <w:r w:rsidRPr="00DE185C">
        <w:rPr>
          <w:rFonts w:ascii="Calibri" w:hAnsi="Calibri"/>
        </w:rPr>
        <w:t>show</w:t>
      </w:r>
      <w:r w:rsidR="007742F8" w:rsidRPr="00DE185C">
        <w:rPr>
          <w:rFonts w:ascii="Calibri" w:hAnsi="Calibri"/>
        </w:rPr>
        <w:t>s</w:t>
      </w:r>
      <w:r w:rsidRPr="00DE185C">
        <w:rPr>
          <w:rFonts w:ascii="Calibri" w:hAnsi="Calibri"/>
        </w:rPr>
        <w:t xml:space="preserve"> the number of truck replacements made through VIP. </w:t>
      </w:r>
    </w:p>
    <w:p w:rsidR="00524127" w:rsidRPr="00DE185C" w:rsidRDefault="00524127" w:rsidP="00C768E1">
      <w:pPr>
        <w:pStyle w:val="Heading5"/>
        <w:rPr>
          <w:rStyle w:val="BookTitle"/>
          <w:rFonts w:ascii="Calibri" w:hAnsi="Calibri"/>
          <w:b/>
          <w:bCs w:val="0"/>
          <w:spacing w:val="0"/>
          <w:sz w:val="24"/>
        </w:rPr>
      </w:pPr>
      <w:bookmarkStart w:id="69" w:name="_Toc416259323"/>
      <w:r w:rsidRPr="00DE185C">
        <w:rPr>
          <w:rStyle w:val="BookTitle"/>
          <w:rFonts w:ascii="Calibri" w:hAnsi="Calibri"/>
          <w:b/>
          <w:bCs w:val="0"/>
          <w:spacing w:val="0"/>
          <w:sz w:val="24"/>
        </w:rPr>
        <w:t xml:space="preserve">Table </w:t>
      </w:r>
      <w:r w:rsidR="0073269A" w:rsidRPr="00DE185C">
        <w:rPr>
          <w:rStyle w:val="BookTitle"/>
          <w:rFonts w:ascii="Calibri" w:hAnsi="Calibri"/>
          <w:b/>
          <w:bCs w:val="0"/>
          <w:spacing w:val="0"/>
          <w:sz w:val="24"/>
        </w:rPr>
        <w:t>8-2</w:t>
      </w:r>
      <w:r w:rsidRPr="00DE185C">
        <w:rPr>
          <w:rStyle w:val="BookTitle"/>
          <w:rFonts w:ascii="Calibri" w:hAnsi="Calibri"/>
          <w:b/>
          <w:bCs w:val="0"/>
          <w:spacing w:val="0"/>
          <w:sz w:val="24"/>
        </w:rPr>
        <w:t>: Carl Moyer Voucher Incentive Program Projects</w:t>
      </w:r>
      <w:r w:rsidR="008E772D" w:rsidRPr="00DE185C">
        <w:rPr>
          <w:rStyle w:val="BookTitle"/>
          <w:rFonts w:ascii="Calibri" w:hAnsi="Calibri"/>
          <w:b/>
          <w:bCs w:val="0"/>
          <w:spacing w:val="0"/>
          <w:sz w:val="24"/>
        </w:rPr>
        <w:t xml:space="preserve"> in the San Diego Region</w:t>
      </w:r>
      <w:bookmarkEnd w:id="69"/>
    </w:p>
    <w:tbl>
      <w:tblPr>
        <w:tblW w:w="7486" w:type="dxa"/>
        <w:jc w:val="center"/>
        <w:tblInd w:w="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20"/>
        <w:gridCol w:w="960"/>
        <w:gridCol w:w="960"/>
        <w:gridCol w:w="986"/>
        <w:gridCol w:w="960"/>
      </w:tblGrid>
      <w:tr w:rsidR="002E1FA2" w:rsidRPr="00DE185C" w:rsidTr="008C5E54">
        <w:trPr>
          <w:trHeight w:val="255"/>
          <w:jc w:val="center"/>
        </w:trPr>
        <w:tc>
          <w:tcPr>
            <w:tcW w:w="362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Carl Moyer</w:t>
            </w:r>
          </w:p>
        </w:tc>
        <w:tc>
          <w:tcPr>
            <w:tcW w:w="96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Diesel</w:t>
            </w:r>
          </w:p>
        </w:tc>
        <w:tc>
          <w:tcPr>
            <w:tcW w:w="960"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CNG</w:t>
            </w:r>
          </w:p>
        </w:tc>
        <w:tc>
          <w:tcPr>
            <w:tcW w:w="973" w:type="dxa"/>
            <w:shd w:val="clear" w:color="auto" w:fill="314B5A"/>
            <w:noWrap/>
            <w:vAlign w:val="bottom"/>
            <w:hideMark/>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Propane</w:t>
            </w:r>
          </w:p>
        </w:tc>
        <w:tc>
          <w:tcPr>
            <w:tcW w:w="973" w:type="dxa"/>
            <w:shd w:val="clear" w:color="auto" w:fill="314B5A"/>
            <w:vAlign w:val="bottom"/>
          </w:tcPr>
          <w:p w:rsidR="00524127" w:rsidRPr="00DE185C" w:rsidRDefault="00524127" w:rsidP="002E1FA2">
            <w:pPr>
              <w:spacing w:after="0" w:line="240" w:lineRule="auto"/>
              <w:rPr>
                <w:rFonts w:ascii="Calibri" w:eastAsia="Times New Roman" w:hAnsi="Calibri" w:cs="Arial"/>
                <w:b/>
                <w:color w:val="FFFFFF" w:themeColor="background1"/>
              </w:rPr>
            </w:pPr>
            <w:r w:rsidRPr="00DE185C">
              <w:rPr>
                <w:rFonts w:ascii="Calibri" w:eastAsia="Times New Roman" w:hAnsi="Calibri" w:cs="Arial"/>
                <w:b/>
                <w:color w:val="FFFFFF" w:themeColor="background1"/>
              </w:rPr>
              <w:t>Total</w:t>
            </w:r>
          </w:p>
        </w:tc>
      </w:tr>
      <w:tr w:rsidR="00524127" w:rsidRPr="00DE185C" w:rsidTr="002E1FA2">
        <w:trPr>
          <w:trHeight w:val="255"/>
          <w:jc w:val="center"/>
        </w:trPr>
        <w:tc>
          <w:tcPr>
            <w:tcW w:w="3620"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Arial"/>
              </w:rPr>
            </w:pPr>
            <w:r w:rsidRPr="00DE185C">
              <w:rPr>
                <w:rFonts w:ascii="Calibri" w:eastAsia="Times New Roman" w:hAnsi="Calibri" w:cs="Arial"/>
              </w:rPr>
              <w:t>Truck Replacement</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212</w:t>
            </w:r>
          </w:p>
        </w:tc>
        <w:tc>
          <w:tcPr>
            <w:tcW w:w="960"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73" w:type="dxa"/>
            <w:shd w:val="clear" w:color="auto" w:fill="B6DDE8" w:themeFill="accent5" w:themeFillTint="66"/>
            <w:noWrap/>
            <w:vAlign w:val="bottom"/>
            <w:hideMark/>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0</w:t>
            </w:r>
          </w:p>
        </w:tc>
        <w:tc>
          <w:tcPr>
            <w:tcW w:w="973" w:type="dxa"/>
            <w:shd w:val="clear" w:color="auto" w:fill="B6DDE8" w:themeFill="accent5" w:themeFillTint="66"/>
            <w:vAlign w:val="bottom"/>
          </w:tcPr>
          <w:p w:rsidR="00524127" w:rsidRPr="00DE185C" w:rsidRDefault="00524127" w:rsidP="002E1FA2">
            <w:pPr>
              <w:spacing w:after="0" w:line="240" w:lineRule="auto"/>
              <w:jc w:val="right"/>
              <w:rPr>
                <w:rFonts w:ascii="Calibri" w:eastAsia="Times New Roman" w:hAnsi="Calibri" w:cs="Arial"/>
              </w:rPr>
            </w:pPr>
            <w:r w:rsidRPr="00DE185C">
              <w:rPr>
                <w:rFonts w:ascii="Calibri" w:eastAsia="Times New Roman" w:hAnsi="Calibri" w:cs="Arial"/>
              </w:rPr>
              <w:t>212</w:t>
            </w:r>
          </w:p>
        </w:tc>
      </w:tr>
    </w:tbl>
    <w:p w:rsidR="00524127" w:rsidRPr="00DE185C" w:rsidRDefault="00524127" w:rsidP="00524127">
      <w:pPr>
        <w:rPr>
          <w:rFonts w:ascii="Calibri" w:hAnsi="Calibri"/>
        </w:rPr>
      </w:pPr>
    </w:p>
    <w:p w:rsidR="00524127" w:rsidRPr="00DE185C" w:rsidRDefault="00524127" w:rsidP="00524127">
      <w:pPr>
        <w:rPr>
          <w:rFonts w:ascii="Calibri" w:hAnsi="Calibri"/>
        </w:rPr>
      </w:pPr>
      <w:r w:rsidRPr="00DE185C">
        <w:rPr>
          <w:rFonts w:ascii="Calibri" w:hAnsi="Calibri"/>
        </w:rPr>
        <w:t xml:space="preserve">There </w:t>
      </w:r>
      <w:r w:rsidR="009265B8" w:rsidRPr="00DE185C">
        <w:rPr>
          <w:rFonts w:ascii="Calibri" w:hAnsi="Calibri"/>
        </w:rPr>
        <w:t>are</w:t>
      </w:r>
      <w:r w:rsidRPr="00DE185C">
        <w:rPr>
          <w:rFonts w:ascii="Calibri" w:hAnsi="Calibri"/>
        </w:rPr>
        <w:t xml:space="preserve"> almost 60,000 heavy-duty trucks and buses in San Diego County</w:t>
      </w:r>
      <w:r w:rsidR="00681CAF">
        <w:rPr>
          <w:rFonts w:ascii="Calibri" w:hAnsi="Calibri"/>
        </w:rPr>
        <w:t xml:space="preserve">: </w:t>
      </w:r>
      <w:r w:rsidRPr="00DE185C">
        <w:rPr>
          <w:rFonts w:ascii="Calibri" w:hAnsi="Calibri"/>
        </w:rPr>
        <w:t xml:space="preserve">786 </w:t>
      </w:r>
      <w:r w:rsidR="00681CAF">
        <w:rPr>
          <w:rFonts w:ascii="Calibri" w:hAnsi="Calibri"/>
        </w:rPr>
        <w:t xml:space="preserve">received </w:t>
      </w:r>
      <w:r w:rsidRPr="00DE185C">
        <w:rPr>
          <w:rFonts w:ascii="Calibri" w:hAnsi="Calibri"/>
        </w:rPr>
        <w:t>incentivize</w:t>
      </w:r>
      <w:r w:rsidR="00681CAF">
        <w:rPr>
          <w:rFonts w:ascii="Calibri" w:hAnsi="Calibri"/>
        </w:rPr>
        <w:t>s from SDAPCD</w:t>
      </w:r>
      <w:r w:rsidRPr="00DE185C">
        <w:rPr>
          <w:rFonts w:ascii="Calibri" w:hAnsi="Calibri"/>
        </w:rPr>
        <w:t xml:space="preserve"> </w:t>
      </w:r>
      <w:r w:rsidR="00681CAF">
        <w:rPr>
          <w:rFonts w:ascii="Calibri" w:hAnsi="Calibri"/>
        </w:rPr>
        <w:t xml:space="preserve">for </w:t>
      </w:r>
      <w:r w:rsidRPr="00DE185C">
        <w:rPr>
          <w:rFonts w:ascii="Calibri" w:hAnsi="Calibri"/>
        </w:rPr>
        <w:t xml:space="preserve">cleaner engines </w:t>
      </w:r>
    </w:p>
    <w:p w:rsidR="00524127" w:rsidRPr="00DE185C" w:rsidRDefault="00524127" w:rsidP="00524127">
      <w:pPr>
        <w:pStyle w:val="Heading2"/>
        <w:rPr>
          <w:rFonts w:ascii="Calibri" w:hAnsi="Calibri"/>
        </w:rPr>
      </w:pPr>
      <w:bookmarkStart w:id="70" w:name="_Toc410636707"/>
      <w:bookmarkStart w:id="71" w:name="_Toc416259257"/>
      <w:r w:rsidRPr="00DE185C">
        <w:rPr>
          <w:rFonts w:ascii="Calibri" w:hAnsi="Calibri"/>
        </w:rPr>
        <w:t>Light-Duty Vehicles</w:t>
      </w:r>
      <w:bookmarkEnd w:id="70"/>
      <w:bookmarkEnd w:id="71"/>
    </w:p>
    <w:p w:rsidR="00524127" w:rsidRPr="00DE185C" w:rsidRDefault="00681CAF" w:rsidP="00524127">
      <w:pPr>
        <w:rPr>
          <w:rFonts w:ascii="Calibri" w:hAnsi="Calibri"/>
        </w:rPr>
      </w:pPr>
      <w:r>
        <w:rPr>
          <w:rFonts w:ascii="Calibri" w:hAnsi="Calibri"/>
        </w:rPr>
        <w:t>Figure 8-2 shows</w:t>
      </w:r>
      <w:r w:rsidR="00524127" w:rsidRPr="00DE185C">
        <w:rPr>
          <w:rFonts w:ascii="Calibri" w:hAnsi="Calibri"/>
        </w:rPr>
        <w:t xml:space="preserve"> the amount of funding that the San Diego region has received from </w:t>
      </w:r>
      <w:r>
        <w:rPr>
          <w:rFonts w:ascii="Calibri" w:hAnsi="Calibri"/>
        </w:rPr>
        <w:t>ARB’s</w:t>
      </w:r>
      <w:r w:rsidR="00524127" w:rsidRPr="00DE185C">
        <w:rPr>
          <w:rFonts w:ascii="Calibri" w:hAnsi="Calibri"/>
        </w:rPr>
        <w:t xml:space="preserve"> Clean Vehicle Rebate Project (CVRP)</w:t>
      </w:r>
      <w:r>
        <w:rPr>
          <w:rFonts w:ascii="Calibri" w:hAnsi="Calibri"/>
        </w:rPr>
        <w:t>, administered by CSE</w:t>
      </w:r>
      <w:r w:rsidR="00524127" w:rsidRPr="00DE185C">
        <w:rPr>
          <w:rFonts w:ascii="Calibri" w:hAnsi="Calibri"/>
        </w:rPr>
        <w:t>. The CVRP provides up to $5,000 in rebates for the purchase or lease of new, eligible zero-emission and plug-in hybrid light-duty vehicles. During the five-year life of the program, San Diego County has received $17 million, equating to about 7,500 rebates.</w:t>
      </w:r>
      <w:r w:rsidR="00524127" w:rsidRPr="00DE185C">
        <w:rPr>
          <w:rStyle w:val="FootnoteReference"/>
          <w:rFonts w:ascii="Calibri" w:hAnsi="Calibri"/>
        </w:rPr>
        <w:footnoteReference w:id="27"/>
      </w:r>
      <w:r w:rsidR="00524127" w:rsidRPr="00DE185C">
        <w:rPr>
          <w:rFonts w:ascii="Calibri" w:hAnsi="Calibri"/>
        </w:rPr>
        <w:t xml:space="preserve"> </w:t>
      </w:r>
    </w:p>
    <w:p w:rsidR="005E6C1F" w:rsidRPr="00DE185C" w:rsidRDefault="005E6C1F">
      <w:pPr>
        <w:rPr>
          <w:rStyle w:val="SubtitleChar"/>
        </w:rPr>
      </w:pPr>
      <w:r w:rsidRPr="00DE185C">
        <w:rPr>
          <w:rStyle w:val="SubtitleChar"/>
        </w:rPr>
        <w:br w:type="page"/>
      </w:r>
    </w:p>
    <w:p w:rsidR="007D1651" w:rsidRPr="00DE185C" w:rsidRDefault="00524127" w:rsidP="007D1651">
      <w:pPr>
        <w:jc w:val="center"/>
        <w:rPr>
          <w:rStyle w:val="SubtitleChar"/>
        </w:rPr>
      </w:pPr>
      <w:bookmarkStart w:id="72" w:name="_Toc416259287"/>
      <w:r w:rsidRPr="00DE185C">
        <w:rPr>
          <w:rStyle w:val="SubtitleChar"/>
        </w:rPr>
        <w:t xml:space="preserve">Figure </w:t>
      </w:r>
      <w:r w:rsidR="0073269A" w:rsidRPr="00DE185C">
        <w:rPr>
          <w:rStyle w:val="SubtitleChar"/>
        </w:rPr>
        <w:t>8-2</w:t>
      </w:r>
      <w:r w:rsidRPr="00DE185C">
        <w:rPr>
          <w:rStyle w:val="SubtitleChar"/>
        </w:rPr>
        <w:t>: CVRP Funding in San Diego Region, 2010-2014</w:t>
      </w:r>
      <w:bookmarkEnd w:id="72"/>
    </w:p>
    <w:p w:rsidR="00524127" w:rsidRPr="00DE185C" w:rsidRDefault="00E77F83" w:rsidP="007D1651">
      <w:pPr>
        <w:rPr>
          <w:rFonts w:ascii="Calibri" w:eastAsiaTheme="majorEastAsia" w:hAnsi="Calibri" w:cstheme="majorBidi"/>
          <w:b/>
          <w:iCs/>
          <w:spacing w:val="15"/>
          <w:sz w:val="24"/>
          <w:szCs w:val="24"/>
        </w:rPr>
      </w:pPr>
      <w:r w:rsidRPr="00DE185C">
        <w:rPr>
          <w:rFonts w:ascii="Calibri" w:hAnsi="Calibri"/>
          <w:noProof/>
          <w:lang w:eastAsia="zh-CN"/>
        </w:rPr>
        <mc:AlternateContent>
          <mc:Choice Requires="wpg">
            <w:drawing>
              <wp:anchor distT="0" distB="0" distL="114300" distR="114300" simplePos="0" relativeHeight="251716096" behindDoc="0" locked="0" layoutInCell="1" allowOverlap="1" wp14:anchorId="4746875E" wp14:editId="77C3F48A">
                <wp:simplePos x="0" y="0"/>
                <wp:positionH relativeFrom="column">
                  <wp:posOffset>3829685</wp:posOffset>
                </wp:positionH>
                <wp:positionV relativeFrom="paragraph">
                  <wp:posOffset>3928745</wp:posOffset>
                </wp:positionV>
                <wp:extent cx="2189480" cy="1924050"/>
                <wp:effectExtent l="0" t="0" r="1270" b="0"/>
                <wp:wrapSquare wrapText="bothSides"/>
                <wp:docPr id="38" name="Group 38"/>
                <wp:cNvGraphicFramePr/>
                <a:graphic xmlns:a="http://schemas.openxmlformats.org/drawingml/2006/main">
                  <a:graphicData uri="http://schemas.microsoft.com/office/word/2010/wordprocessingGroup">
                    <wpg:wgp>
                      <wpg:cNvGrpSpPr/>
                      <wpg:grpSpPr>
                        <a:xfrm>
                          <a:off x="0" y="0"/>
                          <a:ext cx="2189480" cy="1924050"/>
                          <a:chOff x="0" y="0"/>
                          <a:chExt cx="3095636" cy="1423979"/>
                        </a:xfrm>
                      </wpg:grpSpPr>
                      <wps:wsp>
                        <wps:cNvPr id="39" name="Text Box 2"/>
                        <wps:cNvSpPr txBox="1">
                          <a:spLocks noChangeArrowheads="1"/>
                        </wps:cNvSpPr>
                        <wps:spPr bwMode="auto">
                          <a:xfrm>
                            <a:off x="129152" y="380845"/>
                            <a:ext cx="2966484" cy="941038"/>
                          </a:xfrm>
                          <a:prstGeom prst="rect">
                            <a:avLst/>
                          </a:prstGeom>
                          <a:noFill/>
                          <a:ln w="9525">
                            <a:noFill/>
                            <a:miter lim="800000"/>
                            <a:headEnd/>
                            <a:tailEnd/>
                          </a:ln>
                        </wps:spPr>
                        <wps:txbx>
                          <w:txbxContent>
                            <w:p w:rsidR="006909BC" w:rsidRPr="00A15524" w:rsidRDefault="006909BC" w:rsidP="008C52C1">
                              <w:pPr>
                                <w:pStyle w:val="CVText"/>
                                <w:spacing w:line="240" w:lineRule="auto"/>
                                <w:ind w:right="360"/>
                                <w:jc w:val="center"/>
                                <w:rPr>
                                  <w:b/>
                                  <w:i/>
                                  <w:color w:val="005997"/>
                                </w:rPr>
                              </w:pPr>
                              <w:r>
                                <w:rPr>
                                  <w:rFonts w:asciiTheme="minorHAnsi" w:hAnsiTheme="minorHAnsi"/>
                                  <w:b/>
                                  <w:i/>
                                  <w:color w:val="005997"/>
                                  <w:sz w:val="28"/>
                                  <w:szCs w:val="28"/>
                                  <w:lang w:val="en-US"/>
                                </w:rPr>
                                <w:t>San Diego County has received over $17 million from the CVRP</w:t>
                              </w:r>
                            </w:p>
                          </w:txbxContent>
                        </wps:txbx>
                        <wps:bodyPr rot="0" vert="horz" wrap="square" lIns="91440" tIns="45720" rIns="91440" bIns="45720" anchor="t" anchorCtr="0">
                          <a:noAutofit/>
                        </wps:bodyPr>
                      </wps:wsp>
                      <pic:pic xmlns:pic="http://schemas.openxmlformats.org/drawingml/2006/picture">
                        <pic:nvPicPr>
                          <pic:cNvPr id="41" name="Picture 8" descr="3mm_Frame_CV_19April2010-01_Top.png"/>
                          <pic:cNvPicPr>
                            <a:picLocks noChangeAspect="1"/>
                          </pic:cNvPicPr>
                        </pic:nvPicPr>
                        <pic:blipFill rotWithShape="1">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2" name="Picture 8" descr="3mm_Frame_CV_19April2010-01_Top.png"/>
                          <pic:cNvPicPr>
                            <a:picLocks noChangeAspect="1"/>
                          </pic:cNvPicPr>
                        </pic:nvPicPr>
                        <pic:blipFill rotWithShape="1">
                          <a:blip r:embed="rId24"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977412"/>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8" o:spid="_x0000_s1051" style="position:absolute;margin-left:301.55pt;margin-top:309.35pt;width:172.4pt;height:151.5pt;z-index:251716096;mso-width-relative:margin;mso-height-relative:margin" coordsize="30956,14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bdYzAQAANYOAAAOAAAAZHJzL2Uyb0RvYy54bWzsV99v2zYQfh+w/0HQ&#10;u2NJpiRLiFM4thMUaNdgzbbHgKZoS6gkciQdORv2v++OlFzHDrAiLfaUAJH5QzzefffdR+ry3b6p&#10;vUeudCXamR9eBL7HWyaKqt3O/N/ub0ZT39OGtgWtRctn/hPX/rurn3+67GTOI1GKuuDKAyOtzjs5&#10;80tjZD4ea1byhuoLIXkLkxuhGmqgq7bjQtEOrDf1OAqCZNwJVUglGNcaRpdu0r+y9jcbzsynzUZz&#10;49UzH3wz9qnsc43P8dUlzbeKyrJivRv0FV40tGph04OpJTXU26nqzFRTMSW02JgLJpqx2Gwqxm0M&#10;EE0YnERzq8RO2li2ebeVB5gA2hOcXm2W/fJ4p7yqmPkTyFRLG8iR3daDPoDTyW0O79wq+VneqX5g&#10;63oY736jGvyFSLy9hfXpACvfG4/BYBROMzIF9BnMhVlEgrgHnpWQnbN1rFz1KydBFieTpF9JokmW&#10;ZujVeNh4jP4d3OkkkEh/xUl/H06fSyq5hV8jBgNO2YDTPQZ4LfZe5JCybyFMntnDMMRqKaHlB8G+&#10;aK8Vi5K2Wz5XSnQlpwW4F9po0G/YAJci4jrXaGTdfRQFpIPujLCGTrAOoyyMI98DUCfTYEpitEXz&#10;A+pZkpApcdhlJAxcQg/Q0VwqbW65aDxszHwFxWL3oY8ftHEoD6+g4VbcVHVt96hbr5v5WRzFdsHR&#10;TFMZqOe6amb+NMA/5xSGu2oLu9jQqnZt8KVuIZtDyC54s1/vLSN7Aup8LYonAEQJV74gN9AohfrL&#10;9zoo3Zmv/9xRxX2vft8CqFlICNa67ZA4jaCjjmfWxzO0ZWBq5hvfc82FsfrgQp4D+JvKooFeOk96&#10;l4FqV5eyYjn897UJrTPO/beGwSqzQ/+dDjbfZKOh6stOjkBGJDXVuqor82QlEVKCTrWPdxVDQmHn&#10;K31JONAXpnFXD+q+4JpB0JOmebhRoAEPi98fwmwuVVWjLI2C8OFeyAvZbjGdg0FnHnhUsROGawlc&#10;Gtj9/PUxdp/5tq4riczC/P5RmdKW3VA8ONnDAg6eqN4LyDpFXQq2a3hr3BGheA0IiVaXldRAhZw3&#10;a14A4d8XAAaD48lAmUGwreN/sRMGDiskgD2H+KJW3iOFE4QyBlYd6XVJC+6GSXwguqYGqtYNh5Nh&#10;HIh+sIRmsawORrsSasbqAM2PtoY6hjLEt7Gi7VnydzSdB0EWXY8WcbAYkSBdjeYZSUdpsEpJQKbh&#10;Ilz8gyUZknynOWSF1ktZ9QDC6BmELx4c/RHrjiR7tLmAbDFDLOCQ1eDBRRjCPFnAFPsVco/HbURA&#10;fIAFozhNUyxBaIYJCNZ65pM0SZwyaKO4YSXKDTJjIINj2TfpIJg+P3MmQRKFaerUj5AkTtIe4kFF&#10;B2l7jfphpAfR61XMwnKWsXiSEMhYMprPl+mIkOV0dH0NrcVilZFJmJB4dcgYMkp0n9aaQVkW3580&#10;xPSFZCHMCGyPOHQd2NDo94TWGVFeqLWTmxis+v9UDGjkLit3bypWABhvKnZ2q/4xKjZKMrxLPJOx&#10;NP1BKuauNGHQX5VQVp5dpLM0JaG9XbpTAG/TkyAOY5RWvE2/KZtTOKu79gA5VTb7hQAfT1YL+w89&#10;/Do77kP7+HP06l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Av&#10;5TOl4gAAAAsBAAAPAAAAZHJzL2Rvd25yZXYueG1sTI/BTsJAEIbvJr7DZky8yXZBKdRuCSHqiZgI&#10;JoTb0A5tQ3e36S5teXvHk97+yXz555t0NZpG9NT52lkNahKBIJu7oralhu/9+9MChA9oC2ycJQ03&#10;8rDK7u9STAo32C/qd6EUXGJ9ghqqENpESp9XZNBPXEuWd2fXGQw8dqUsOhy43DRyGkVzabC2fKHC&#10;ljYV5Zfd1Wj4GHBYz9Rbv72cN7fj/uXzsFWk9ePDuH4FEWgMfzD86rM6ZOx0cldbeNFomEczxSgH&#10;tYhBMLF8jpcgThymKgaZpfL/D9kPAAAA//8DAFBLAwQKAAAAAAAAACEAFqRS8PgBAAD4AQAAFAAA&#10;AGRycy9tZWRpYS9pbWFnZTEucG5niVBORw0KGgoAAAANSUhEUgAAAuIAAABGCAIAAAAGk2a5AAAA&#10;AXNSR0IArs4c6QAAAARnQU1BAACxjwv8YQUAAAAJcEhZcwAAIdUAACHVAQSctJ0AAAGNSURBVHhe&#10;7dYhboRgFEbR7n8h3RMOgcSRmkmAjvgnmaSKCU2uOMc89T59v74BADK2bTtfZAoAECJTAIAomQIA&#10;RMkUACBKpgAAUTIFAIiSKQBAlEwBAKJkCgAQJVMAgCiZAgBEyRQAIEqmAABRMgUAiJIpAECUTAEA&#10;omQKABAlUwCAKJkCAETJFAAgSqYAAFEyBQCIuidTpmn6AQD4Y1mWkQvX3ZMp8zyPDQCAN+u6jly4&#10;TqYAAP9IpgAAUTIFAIiSKQBAlEwBAKJkCgAQJVMAgCiZAgBEyRQAIEqmAABRMgUAiJIpAECUTAEA&#10;omQKABAlUwCAKJkCAETJFAAgSqYAAFEyBQCIkikAQJRMAQCiZAoAECVTAIAomQIARMkUACBKpgAA&#10;UTIFAIiSKQBAlEwBAKJkCgAQJVMAgCiZAgBEyRQAIEqmAABRMgUAiJIpAECUTAEAomQKABAlUwCA&#10;qNsy5fGpfd/HBgDAm+M4Ri5c9/wdK89MGRcAIEamAABRMgUAiJIpAECUTAEAks7zF9gFkFmIiVc3&#10;AAAAAElFTkSuQmCCUEsDBAoAAAAAAAAAIQAXbTiU8gEAAPIBAAAUAAAAZHJzL21lZGlhL2ltYWdl&#10;Mi5wbmeJUE5HDQoaCgAAAA1JSERSAAAC3gAAAEYIAgAAAHRcBA8AAAABc1JHQgCuzhzpAAAABGdB&#10;TUEAALGPC/xhBQAAAAlwSFlzAAAh1QAAIdUBBJy0nQAAAYdJREFUeF7t1jFqw1AABUHf/yC+l0o1&#10;AhVBkEI/EH7ArYLAC55pXvfqfTwBAN5q3/fxR5oAAG8mTQCAEGkCAIRIEwAgRJoAACHSBAAIkSYA&#10;QIg0AQBCpAkAECJNAIAQaQIAhEgTACBEmgAAIdIEAAiRJgBAiDQBAEKkCQAQIk0AgBBpAgCESBMA&#10;IESaAAAh0gQACLknTZZl+QIA+LVt20yE6+5Jk3Vd5wcA8PGO45iJcJ00AQBuJk0AgBBpAgCESBMA&#10;IESaAAAh0gQACJEmAECINAEAQqQJABAiTQCAEGkCAIRIEwAgRJoAACHSBAAIkSYAQIg0AQBCpAkA&#10;ECJNAIAQaQIAhEgTACBEmgAAIdIEAAiRJgBAiDQBAEKkCQAQIk0AgBBpAgCESBMAIESaAAAh0gQA&#10;CJEmAECINAEAQqQJABAiTQCAEGkCAIRIEwAgRJoAACHSBAAIkSYAQMhtafL9X+d5zg8AgDFmIlz3&#10;GhWPuQAAAdIEAAiRJgBAiDQBAEKkCQCQMcYPCoSz/I/w1lcAAAAASUVORK5CYIJQSwECLQAUAAYA&#10;CAAAACEAsYJntgoBAAATAgAAEwAAAAAAAAAAAAAAAAAAAAAAW0NvbnRlbnRfVHlwZXNdLnhtbFBL&#10;AQItABQABgAIAAAAIQA4/SH/1gAAAJQBAAALAAAAAAAAAAAAAAAAADsBAABfcmVscy8ucmVsc1BL&#10;AQItABQABgAIAAAAIQCbPbdYzAQAANYOAAAOAAAAAAAAAAAAAAAAADoCAABkcnMvZTJvRG9jLnht&#10;bFBLAQItABQABgAIAAAAIQAubPAAxQAAAKUBAAAZAAAAAAAAAAAAAAAAADIHAABkcnMvX3JlbHMv&#10;ZTJvRG9jLnhtbC5yZWxzUEsBAi0AFAAGAAgAAAAhAC/lM6XiAAAACwEAAA8AAAAAAAAAAAAAAAAA&#10;LggAAGRycy9kb3ducmV2LnhtbFBLAQItAAoAAAAAAAAAIQAWpFLw+AEAAPgBAAAUAAAAAAAAAAAA&#10;AAAAAD0JAABkcnMvbWVkaWEvaW1hZ2UxLnBuZ1BLAQItAAoAAAAAAAAAIQAXbTiU8gEAAPIBAAAU&#10;AAAAAAAAAAAAAAAAAGcLAABkcnMvbWVkaWEvaW1hZ2UyLnBuZ1BLBQYAAAAABwAHAL4BAACLDQAA&#10;AAA=&#10;">
                <v:shape id="_x0000_s1052" type="#_x0000_t202" style="position:absolute;left:1291;top:3808;width:29665;height:9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6909BC" w:rsidRPr="00A15524" w:rsidRDefault="006909BC" w:rsidP="008C52C1">
                        <w:pPr>
                          <w:pStyle w:val="CVText"/>
                          <w:spacing w:line="240" w:lineRule="auto"/>
                          <w:ind w:right="360"/>
                          <w:jc w:val="center"/>
                          <w:rPr>
                            <w:b/>
                            <w:i/>
                            <w:color w:val="005997"/>
                          </w:rPr>
                        </w:pPr>
                        <w:r>
                          <w:rPr>
                            <w:rFonts w:asciiTheme="minorHAnsi" w:hAnsiTheme="minorHAnsi"/>
                            <w:b/>
                            <w:i/>
                            <w:color w:val="005997"/>
                            <w:sz w:val="28"/>
                            <w:szCs w:val="28"/>
                            <w:lang w:val="en-US"/>
                          </w:rPr>
                          <w:t>San Diego County has received over $17 million from the CVRP</w:t>
                        </w:r>
                      </w:p>
                    </w:txbxContent>
                  </v:textbox>
                </v:shape>
                <v:shape id="Picture 8" o:spid="_x0000_s1053"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VTXEAAAA2wAAAA8AAABkcnMvZG93bnJldi54bWxEj0+LwjAUxO+C3yE8wZumFZGlaxQRhV08&#10;+Bd2j2+bZ1tsXmoTtfrpN4LgcZiZ3zDjaWNKcaXaFZYVxP0IBHFqdcGZgsN+2fsA4TyyxtIyKbiT&#10;g+mk3Rpjou2Nt3Td+UwECLsEFeTeV4mULs3JoOvbijh4R1sb9EHWmdQ13gLclHIQRSNpsOCwkGNF&#10;85zS0+5iFKyy3wvF6+/5mQY/i81yuzo/3J9S3U4z+wThqfHv8Kv9pRUMY3h+CT9AT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iVTXEAAAA2wAAAA8AAAAAAAAAAAAAAAAA&#10;nwIAAGRycy9kb3ducmV2LnhtbFBLBQYAAAAABAAEAPcAAACQAwAAAAA=&#10;">
                  <v:imagedata r:id="rId25" o:title="3mm_Frame_CV_19April2010-01_Top" croptop="-37860f" cropbottom="3123f" cropleft="160f" cropright="-106f" recolortarget="#1d4f5c [1448]"/>
                  <v:path arrowok="t"/>
                </v:shape>
                <v:shape id="Picture 8" o:spid="_x0000_s1054" type="#_x0000_t75" alt="3mm_Frame_CV_19April2010-01_Top.png" style="position:absolute;top:9774;width:30515;height:4465;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sjX7DAAAA2wAAAA8AAABkcnMvZG93bnJldi54bWxEj81qwzAQhO+BvIPYQG+xXLeE4EYJJaXg&#10;U6FJyHmxtraxtXIk1T99+qpQyHGYmW+Y3WEynRjI+caygsckBUFcWt1wpeByfl9vQfiArLGzTApm&#10;8nDYLxc7zLUd+ZOGU6hEhLDPUUEdQp9L6cuaDPrE9sTR+7LOYIjSVVI7HCPcdDJL04002HBcqLGn&#10;Y01le/o2Cty2vc1F+XF9e9I0/pi+3ZBMlXpYTa8vIAJN4R7+bxdawXMGf1/iD5D7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WyNfsMAAADbAAAADwAAAAAAAAAAAAAAAACf&#10;AgAAZHJzL2Rvd25yZXYueG1sUEsFBgAAAAAEAAQA9wAAAI8DAAAAAA==&#10;">
                  <v:imagedata r:id="rId26" o:title="3mm_Frame_CV_19April2010-01_Top" croptop="-37860f" cropbottom="3123f" cropleft="-452f" cropright="506f" recolortarget="#1d4f5c [1448]"/>
                  <v:path arrowok="t"/>
                </v:shape>
                <w10:wrap type="square"/>
              </v:group>
            </w:pict>
          </mc:Fallback>
        </mc:AlternateContent>
      </w:r>
      <w:r w:rsidR="00524127" w:rsidRPr="00DE185C">
        <w:rPr>
          <w:rFonts w:ascii="Calibri" w:hAnsi="Calibri"/>
          <w:noProof/>
          <w:lang w:eastAsia="zh-CN"/>
        </w:rPr>
        <w:drawing>
          <wp:inline distT="0" distB="0" distL="0" distR="0" wp14:anchorId="338958B5" wp14:editId="371CD3EC">
            <wp:extent cx="5943600" cy="3576955"/>
            <wp:effectExtent l="0" t="0" r="0" b="444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7D1651" w:rsidRPr="00DE185C">
        <w:rPr>
          <w:rStyle w:val="SubtitleChar"/>
        </w:rPr>
        <w:br/>
      </w:r>
      <w:r w:rsidR="00524127" w:rsidRPr="00DE185C">
        <w:rPr>
          <w:rFonts w:ascii="Calibri" w:hAnsi="Calibri"/>
          <w:sz w:val="18"/>
        </w:rPr>
        <w:t>Center for Sustainable Energy 2015. California Air Resources Board Clean Vehicle Rebate Projec</w:t>
      </w:r>
      <w:r w:rsidR="007D1651" w:rsidRPr="00DE185C">
        <w:rPr>
          <w:rFonts w:ascii="Calibri" w:hAnsi="Calibri"/>
          <w:sz w:val="18"/>
        </w:rPr>
        <w:t xml:space="preserve">t, Rebate Statistics. Data last </w:t>
      </w:r>
      <w:r w:rsidR="00524127" w:rsidRPr="00DE185C">
        <w:rPr>
          <w:rFonts w:ascii="Calibri" w:hAnsi="Calibri"/>
          <w:sz w:val="18"/>
        </w:rPr>
        <w:t>updated January 22, 2014. http://energycenter.org/clean-vehicle-rebate-project/rebate-statistics</w:t>
      </w:r>
    </w:p>
    <w:p w:rsidR="00524127" w:rsidRPr="00DE185C" w:rsidRDefault="0009310B" w:rsidP="00524127">
      <w:pPr>
        <w:rPr>
          <w:rFonts w:ascii="Calibri" w:hAnsi="Calibri"/>
        </w:rPr>
      </w:pPr>
      <w:r w:rsidRPr="00DE185C">
        <w:rPr>
          <w:rFonts w:ascii="Calibri" w:hAnsi="Calibri"/>
        </w:rPr>
        <w:t>T</w:t>
      </w:r>
      <w:r w:rsidR="00524127" w:rsidRPr="00DE185C">
        <w:rPr>
          <w:rFonts w:ascii="Calibri" w:hAnsi="Calibri"/>
        </w:rPr>
        <w:t xml:space="preserve">here </w:t>
      </w:r>
      <w:r w:rsidRPr="00DE185C">
        <w:rPr>
          <w:rFonts w:ascii="Calibri" w:hAnsi="Calibri"/>
        </w:rPr>
        <w:t>are</w:t>
      </w:r>
      <w:r w:rsidR="00524127" w:rsidRPr="00DE185C">
        <w:rPr>
          <w:rFonts w:ascii="Calibri" w:hAnsi="Calibri"/>
        </w:rPr>
        <w:t xml:space="preserve"> approximately 1.2 million passenger vehicles in San Diego County.</w:t>
      </w:r>
      <w:r w:rsidR="00524127" w:rsidRPr="00DE185C">
        <w:rPr>
          <w:rStyle w:val="FootnoteReference"/>
          <w:rFonts w:ascii="Calibri" w:hAnsi="Calibri"/>
        </w:rPr>
        <w:footnoteReference w:id="28"/>
      </w:r>
      <w:r w:rsidR="00524127" w:rsidRPr="00DE185C">
        <w:rPr>
          <w:rFonts w:ascii="Calibri" w:hAnsi="Calibri"/>
        </w:rPr>
        <w:t xml:space="preserve"> Of these</w:t>
      </w:r>
      <w:r w:rsidR="001C0FF1" w:rsidRPr="00DE185C">
        <w:rPr>
          <w:rFonts w:ascii="Calibri" w:hAnsi="Calibri"/>
        </w:rPr>
        <w:t xml:space="preserve"> passenger vehicles</w:t>
      </w:r>
      <w:r w:rsidR="00524127" w:rsidRPr="00DE185C">
        <w:rPr>
          <w:rFonts w:ascii="Calibri" w:hAnsi="Calibri"/>
        </w:rPr>
        <w:t>,</w:t>
      </w:r>
      <w:r w:rsidR="000C2556" w:rsidRPr="00DE185C">
        <w:rPr>
          <w:rFonts w:ascii="Calibri" w:hAnsi="Calibri"/>
        </w:rPr>
        <w:t xml:space="preserve"> </w:t>
      </w:r>
      <w:r w:rsidR="00CA36C0" w:rsidRPr="00DE185C">
        <w:rPr>
          <w:rFonts w:ascii="Calibri" w:hAnsi="Calibri"/>
        </w:rPr>
        <w:t xml:space="preserve">approximately </w:t>
      </w:r>
      <w:r w:rsidR="000C2556" w:rsidRPr="00DE185C">
        <w:rPr>
          <w:rFonts w:ascii="Calibri" w:hAnsi="Calibri"/>
        </w:rPr>
        <w:t xml:space="preserve">10,000 </w:t>
      </w:r>
      <w:r w:rsidR="00CA36C0" w:rsidRPr="00DE185C">
        <w:rPr>
          <w:rFonts w:ascii="Calibri" w:hAnsi="Calibri"/>
        </w:rPr>
        <w:t xml:space="preserve">of them are </w:t>
      </w:r>
      <w:r w:rsidR="000C2556" w:rsidRPr="00DE185C">
        <w:rPr>
          <w:rFonts w:ascii="Calibri" w:hAnsi="Calibri"/>
        </w:rPr>
        <w:t>PEVs</w:t>
      </w:r>
      <w:r w:rsidR="00A1013F" w:rsidRPr="00DE185C">
        <w:rPr>
          <w:rFonts w:ascii="Calibri" w:hAnsi="Calibri"/>
        </w:rPr>
        <w:t>.</w:t>
      </w:r>
      <w:r w:rsidR="00524127" w:rsidRPr="00DE185C">
        <w:rPr>
          <w:rFonts w:ascii="Calibri" w:hAnsi="Calibri"/>
        </w:rPr>
        <w:t xml:space="preserve"> </w:t>
      </w:r>
      <w:r w:rsidR="00541565">
        <w:rPr>
          <w:rFonts w:ascii="Calibri" w:hAnsi="Calibri"/>
        </w:rPr>
        <w:t>Of that number,</w:t>
      </w:r>
      <w:r w:rsidR="00644C3C">
        <w:rPr>
          <w:rFonts w:ascii="Calibri" w:hAnsi="Calibri"/>
        </w:rPr>
        <w:t xml:space="preserve"> </w:t>
      </w:r>
      <w:r w:rsidR="00524127" w:rsidRPr="00DE185C">
        <w:rPr>
          <w:rFonts w:ascii="Calibri" w:hAnsi="Calibri"/>
        </w:rPr>
        <w:t xml:space="preserve">7,500 </w:t>
      </w:r>
      <w:r w:rsidR="00741DD2">
        <w:rPr>
          <w:rFonts w:ascii="Calibri" w:hAnsi="Calibri"/>
        </w:rPr>
        <w:t>have received a</w:t>
      </w:r>
      <w:r w:rsidR="00524127" w:rsidRPr="00DE185C">
        <w:rPr>
          <w:rFonts w:ascii="Calibri" w:hAnsi="Calibri"/>
        </w:rPr>
        <w:t xml:space="preserve"> </w:t>
      </w:r>
      <w:r w:rsidR="00541565">
        <w:rPr>
          <w:rFonts w:ascii="Calibri" w:hAnsi="Calibri"/>
        </w:rPr>
        <w:t xml:space="preserve">CVRP </w:t>
      </w:r>
      <w:r w:rsidR="00524127" w:rsidRPr="00DE185C">
        <w:rPr>
          <w:rFonts w:ascii="Calibri" w:hAnsi="Calibri"/>
        </w:rPr>
        <w:t>rebate.</w:t>
      </w:r>
      <w:r w:rsidR="009426DA">
        <w:rPr>
          <w:rFonts w:ascii="Calibri" w:hAnsi="Calibri"/>
        </w:rPr>
        <w:t xml:space="preserve"> </w:t>
      </w:r>
      <w:r w:rsidR="00541565">
        <w:rPr>
          <w:rFonts w:ascii="Calibri" w:hAnsi="Calibri"/>
        </w:rPr>
        <w:t xml:space="preserve">As PEVs are a newly introduced passenger vehicle option, they </w:t>
      </w:r>
      <w:r w:rsidR="000C2556" w:rsidRPr="00DE185C">
        <w:rPr>
          <w:rFonts w:ascii="Calibri" w:hAnsi="Calibri"/>
        </w:rPr>
        <w:t xml:space="preserve">represent a small </w:t>
      </w:r>
      <w:r w:rsidR="00541565">
        <w:rPr>
          <w:rFonts w:ascii="Calibri" w:hAnsi="Calibri"/>
        </w:rPr>
        <w:t xml:space="preserve">but rapidly growing </w:t>
      </w:r>
      <w:r w:rsidR="000C2556" w:rsidRPr="00DE185C">
        <w:rPr>
          <w:rFonts w:ascii="Calibri" w:hAnsi="Calibri"/>
        </w:rPr>
        <w:t>percentage of the overall passenger vehicle population.</w:t>
      </w:r>
      <w:r w:rsidR="009426DA">
        <w:rPr>
          <w:rFonts w:ascii="Calibri" w:hAnsi="Calibri"/>
        </w:rPr>
        <w:t xml:space="preserve"> </w:t>
      </w:r>
    </w:p>
    <w:p w:rsidR="008C5E54" w:rsidRPr="00DE185C" w:rsidRDefault="0073269A">
      <w:pPr>
        <w:rPr>
          <w:rFonts w:ascii="Calibri" w:eastAsiaTheme="majorEastAsia" w:hAnsi="Calibri" w:cstheme="majorBidi"/>
          <w:bCs/>
          <w:sz w:val="40"/>
          <w:szCs w:val="28"/>
        </w:rPr>
      </w:pPr>
      <w:bookmarkStart w:id="73" w:name="_Toc410636708"/>
      <w:r w:rsidRPr="00DE185C">
        <w:rPr>
          <w:rFonts w:ascii="Calibri" w:hAnsi="Calibri"/>
        </w:rPr>
        <w:t>Overall, it is valuable to promote incentives and funding available for fleets and public agencies to adopt or install alternative fuel vehicles and infrastructure. In both the Public Agency and Fleet Surveys, guidance on the availability of funding for alternative fuel vehicles and infrastructure installation projects were the most desired resources. Notably, 84</w:t>
      </w:r>
      <w:r w:rsidR="005D6853">
        <w:rPr>
          <w:rFonts w:ascii="Calibri" w:hAnsi="Calibri"/>
        </w:rPr>
        <w:t xml:space="preserve"> percent</w:t>
      </w:r>
      <w:r w:rsidRPr="00DE185C">
        <w:rPr>
          <w:rFonts w:ascii="Calibri" w:hAnsi="Calibri"/>
        </w:rPr>
        <w:t xml:space="preserve"> of public agency respondents, 85</w:t>
      </w:r>
      <w:r w:rsidR="005D6853">
        <w:rPr>
          <w:rFonts w:ascii="Calibri" w:hAnsi="Calibri"/>
        </w:rPr>
        <w:t xml:space="preserve"> percent</w:t>
      </w:r>
      <w:r w:rsidRPr="00DE185C">
        <w:rPr>
          <w:rFonts w:ascii="Calibri" w:hAnsi="Calibri"/>
        </w:rPr>
        <w:t xml:space="preserve"> of non-adopting fleet respondents, and 75</w:t>
      </w:r>
      <w:r w:rsidR="005D6853">
        <w:rPr>
          <w:rFonts w:ascii="Calibri" w:hAnsi="Calibri"/>
        </w:rPr>
        <w:t xml:space="preserve"> percent</w:t>
      </w:r>
      <w:r w:rsidRPr="00DE185C">
        <w:rPr>
          <w:rFonts w:ascii="Calibri" w:hAnsi="Calibri"/>
        </w:rPr>
        <w:t xml:space="preserve"> of alternative fuel-adopting fleets selected funding information as a desired resource.</w:t>
      </w:r>
    </w:p>
    <w:p w:rsidR="00524127" w:rsidRPr="00DE185C" w:rsidRDefault="00BF7A75" w:rsidP="00524127">
      <w:pPr>
        <w:pStyle w:val="Heading1"/>
        <w:rPr>
          <w:rFonts w:ascii="Calibri" w:hAnsi="Calibri"/>
        </w:rPr>
      </w:pPr>
      <w:bookmarkStart w:id="74" w:name="_Toc416259258"/>
      <w:r w:rsidRPr="00DE185C">
        <w:rPr>
          <w:rFonts w:ascii="Calibri" w:hAnsi="Calibri"/>
        </w:rPr>
        <w:t xml:space="preserve">9. </w:t>
      </w:r>
      <w:r w:rsidR="00524127" w:rsidRPr="00DE185C">
        <w:rPr>
          <w:rFonts w:ascii="Calibri" w:hAnsi="Calibri"/>
        </w:rPr>
        <w:t>Alternative Fuel Investments</w:t>
      </w:r>
      <w:bookmarkEnd w:id="73"/>
      <w:bookmarkEnd w:id="74"/>
    </w:p>
    <w:p w:rsidR="00524127" w:rsidRPr="00DE185C" w:rsidRDefault="008835C8" w:rsidP="00524127">
      <w:pPr>
        <w:pStyle w:val="Heading2"/>
        <w:rPr>
          <w:rFonts w:ascii="Calibri" w:hAnsi="Calibri"/>
        </w:rPr>
      </w:pPr>
      <w:bookmarkStart w:id="75" w:name="_Toc410636709"/>
      <w:bookmarkStart w:id="76" w:name="_Toc416259259"/>
      <w:r w:rsidRPr="00DE185C">
        <w:rPr>
          <w:rFonts w:ascii="Calibri" w:hAnsi="Calibri"/>
        </w:rPr>
        <w:t xml:space="preserve">California Energy Commission </w:t>
      </w:r>
      <w:r w:rsidR="00524127" w:rsidRPr="00DE185C">
        <w:rPr>
          <w:rFonts w:ascii="Calibri" w:hAnsi="Calibri"/>
        </w:rPr>
        <w:t>Funding</w:t>
      </w:r>
      <w:bookmarkEnd w:id="75"/>
      <w:bookmarkEnd w:id="76"/>
    </w:p>
    <w:p w:rsidR="00524127" w:rsidRPr="00DE185C" w:rsidRDefault="008C52C1"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18144" behindDoc="0" locked="0" layoutInCell="1" allowOverlap="1" wp14:anchorId="5AD699A4" wp14:editId="75D11585">
                <wp:simplePos x="0" y="0"/>
                <wp:positionH relativeFrom="column">
                  <wp:posOffset>3790950</wp:posOffset>
                </wp:positionH>
                <wp:positionV relativeFrom="paragraph">
                  <wp:posOffset>812800</wp:posOffset>
                </wp:positionV>
                <wp:extent cx="2348230" cy="2372995"/>
                <wp:effectExtent l="0" t="0" r="0" b="0"/>
                <wp:wrapSquare wrapText="bothSides"/>
                <wp:docPr id="43" name="Group 43"/>
                <wp:cNvGraphicFramePr/>
                <a:graphic xmlns:a="http://schemas.openxmlformats.org/drawingml/2006/main">
                  <a:graphicData uri="http://schemas.microsoft.com/office/word/2010/wordprocessingGroup">
                    <wpg:wgp>
                      <wpg:cNvGrpSpPr/>
                      <wpg:grpSpPr>
                        <a:xfrm>
                          <a:off x="0" y="0"/>
                          <a:ext cx="2348230" cy="2372995"/>
                          <a:chOff x="0" y="0"/>
                          <a:chExt cx="3128277" cy="1991553"/>
                        </a:xfrm>
                      </wpg:grpSpPr>
                      <wps:wsp>
                        <wps:cNvPr id="44" name="Text Box 2"/>
                        <wps:cNvSpPr txBox="1">
                          <a:spLocks noChangeArrowheads="1"/>
                        </wps:cNvSpPr>
                        <wps:spPr bwMode="auto">
                          <a:xfrm>
                            <a:off x="161793" y="364828"/>
                            <a:ext cx="2966484" cy="1337878"/>
                          </a:xfrm>
                          <a:prstGeom prst="rect">
                            <a:avLst/>
                          </a:prstGeom>
                          <a:noFill/>
                          <a:ln w="9525">
                            <a:noFill/>
                            <a:miter lim="800000"/>
                            <a:headEnd/>
                            <a:tailEnd/>
                          </a:ln>
                        </wps:spPr>
                        <wps:txbx>
                          <w:txbxContent>
                            <w:p w:rsidR="006909BC" w:rsidRPr="00A15524" w:rsidRDefault="006909BC" w:rsidP="008C52C1">
                              <w:pPr>
                                <w:pStyle w:val="CVText"/>
                                <w:spacing w:line="240" w:lineRule="auto"/>
                                <w:ind w:right="360"/>
                                <w:jc w:val="center"/>
                                <w:rPr>
                                  <w:b/>
                                  <w:i/>
                                  <w:color w:val="005997"/>
                                </w:rPr>
                              </w:pPr>
                              <w:r>
                                <w:rPr>
                                  <w:rFonts w:asciiTheme="minorHAnsi" w:hAnsiTheme="minorHAnsi"/>
                                  <w:b/>
                                  <w:i/>
                                  <w:color w:val="005997"/>
                                  <w:sz w:val="28"/>
                                  <w:szCs w:val="28"/>
                                  <w:lang w:val="en-US"/>
                                </w:rPr>
                                <w:t xml:space="preserve">Over $16 million </w:t>
                              </w:r>
                              <w:r w:rsidRPr="008C52C1">
                                <w:rPr>
                                  <w:rFonts w:asciiTheme="minorHAnsi" w:hAnsiTheme="minorHAnsi"/>
                                  <w:b/>
                                  <w:i/>
                                  <w:color w:val="005997"/>
                                  <w:sz w:val="28"/>
                                  <w:szCs w:val="28"/>
                                  <w:lang w:val="en-US"/>
                                </w:rPr>
                                <w:t>in grant funds have been awarded</w:t>
                              </w:r>
                              <w:r>
                                <w:rPr>
                                  <w:rFonts w:asciiTheme="minorHAnsi" w:hAnsiTheme="minorHAnsi"/>
                                  <w:b/>
                                  <w:i/>
                                  <w:color w:val="005997"/>
                                  <w:sz w:val="28"/>
                                  <w:szCs w:val="28"/>
                                  <w:lang w:val="en-US"/>
                                </w:rPr>
                                <w:t xml:space="preserve"> to entities in the San Diego region to complete advanced technology projects</w:t>
                              </w:r>
                            </w:p>
                          </w:txbxContent>
                        </wps:txbx>
                        <wps:bodyPr rot="0" vert="horz" wrap="square" lIns="91440" tIns="45720" rIns="91440" bIns="45720" anchor="t" anchorCtr="0">
                          <a:noAutofit/>
                        </wps:bodyPr>
                      </wps:wsp>
                      <pic:pic xmlns:pic="http://schemas.openxmlformats.org/drawingml/2006/picture">
                        <pic:nvPicPr>
                          <pic:cNvPr id="45" name="Picture 8" descr="3mm_Frame_CV_19April2010-01_Top.png"/>
                          <pic:cNvPicPr>
                            <a:picLocks noChangeAspect="1"/>
                          </pic:cNvPicPr>
                        </pic:nvPicPr>
                        <pic:blipFill rotWithShape="1">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6" name="Picture 8" descr="3mm_Frame_CV_19April2010-01_Top.png"/>
                          <pic:cNvPicPr>
                            <a:picLocks noChangeAspect="1"/>
                          </pic:cNvPicPr>
                        </pic:nvPicPr>
                        <pic:blipFill rotWithShape="1">
                          <a:blip r:embed="rId24"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1544986"/>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43" o:spid="_x0000_s1055" style="position:absolute;margin-left:298.5pt;margin-top:64pt;width:184.9pt;height:186.85pt;z-index:251718144;mso-width-relative:margin;mso-height-relative:margin" coordsize="31282,19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H54wxAQAANgOAAAOAAAAZHJzL2Uyb0RvYy54bWzsV99v2zYQfh+w/0HQ&#10;u2L9liXEKRzbKQq0a7Bm22NAU7QlVBI5ko6cDfvfd0dKjmMHWNEUe0qBOuSRPN59d/cddflu3zbO&#10;A5Oq5t3MDS5812Ed5WXdbWfub3c33tR1lCZdSRresZn7yJT77urnny57UbCQV7wpmXRASaeKXszc&#10;SmtRTCaKVqwl6oIL1sHihsuWaJjK7aSUpAftbTMJfT+d9FyWQnLKlALp0i66V0b/ZsOo/rzZKKad&#10;ZuaCbdr8SvO7xt/J1SUptpKIqqaDGeQ7rGhJ3cGlB1VLoomzk/WZqramkiu+0ReUtxO+2dSUGR/A&#10;m8A/8ea95DthfNkW/VYcYAJoT3D6brX0l4db6dTlzI0j1+lICzEy1zowB3B6sS1gz3spvohbOQi2&#10;dob+7jeyxb/gibM3sD4eYGV77VAQhlE8DSNAn8JaGGVhnicWeFpBdM7O0Wo1nIyCcBpmmT0Z5HmQ&#10;JMaqyXjxBO07mNMLSCL1hJN6HU5fKiKYgV8hBiNO8YjTHTp4zfdOaJEyuxAmR+9BDOVgUkKJj5x+&#10;VU7HFxXptmwuJe8rRkowL8CT4MThKCKuCoVK1v0nXkI4yE5zo+gE6yANshyCBqBGKSA8tZgeUM9T&#10;kIKxiHoQRdk0MzsO2JFCSKXfM946OJi5EqrFXEQePiqNhj1twRh3/KZuGpCToumcfubmSZiYA0cr&#10;ba2hoJu6nblTH/9Zq9DfVVeaw5rUjR3DBU03AIA+W+/1fr03KZmPuK55+QiISG7rF/gGBhWXf7lO&#10;D7U7c9WfOyKZ6zQfOkA1D+IYi91M4iQLYSKPV9bHK6SjoGrmatexw4U2BGFdngP6m9qggZGxlgwm&#10;Q65dXYqaFvB/KE4YnSXdf5MYnNI7tN8SYftNOloiv+6EBzwiiK7XdVPrR8OJEBI0qnu4rSliipOj&#10;/E3G/IVlvNUBii6ZouB01Lb3NxJI4H7x+32Qz4WsG+Qlzw/u77i4EN0WQzIqtOohSWp6kuJKQC6N&#10;6f18+wSnz2xbN7XAzML4/lHrytTdWD24OMACBp7Q3gvIWkpdcrprWadtj5CsAYR4p6paKEiFgrVr&#10;VkLCfygDqA/oTxrqDJztbP6XO66hW2ECmEbEFo10Hgi0EEIpaLVJrypSMiuOk0OiK6KhbK04iEY5&#10;JPpBE6rFgjso7SuoGcQVdh1dDYUMZYi7saRNM/k7nM59Pw+vvUXiL7zYz1bePI8zL/NXWezH02AR&#10;LP7BkgziYqcYRIU0S1EPAIL0DMIXO8fQY21PMr3NOmSKGawEg4y1o4kgwjgZwCT9FWKP/TaMgX0g&#10;C7wkyzIsQRgGaeg6a+g2WZpaZlBaMk0rdB8zY0wGm2XfRISg+rzpRH4aBmPriOM0SbMB4pFGX8N+&#10;6OmB9MB7ZDEDy1nEEuBmiFjqzefLzIvj5dS7vobRYrHK4yhI42R1iBhmFO8/rxWFsixfHzSbUmfB&#10;Qpgt2xrEYWrBhsFwJ4zOEuWFWjt5isGp/4/F0jcWe2IxqKk3Fjt7Vv8YFvPSHN8Sz2gsy34Qi9kn&#10;TeAPTyUkkWcv6SCJ43w6MCW2AXxPR36Ccvuye6M2248M8Ro+O6U2840An0+mYw2fevh9djyH8fEH&#10;6dW/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R3544+EAAAAL&#10;AQAADwAAAGRycy9kb3ducmV2LnhtbEyPQWvCQBCF74X+h2WE3uomFqPGbESk7UkK1ULpbc2OSTA7&#10;G7JrEv99p6d6m8d7vPlethltI3rsfO1IQTyNQCAVztRUKvg6vj0vQfigyejGESq4oYdN/viQ6dS4&#10;gT6xP4RScAn5VCuoQmhTKX1RodV+6lok9s6uszqw7EppOj1wuW3kLIoSaXVN/KHSLe4qLC6Hq1Xw&#10;Puhh+xK/9vvLeXf7Oc4/vvcxKvU0GbdrEAHH8B+GP3xGh5yZTu5KxotGwXy14C2BjdmSD06skoTH&#10;nNiK4gXIPJP3G/JfAAAA//8DAFBLAwQKAAAAAAAAACEAFqRS8PgBAAD4AQAAFAAAAGRycy9tZWRp&#10;YS9pbWFnZTEucG5niVBORw0KGgoAAAANSUhEUgAAAuIAAABGCAIAAAAGk2a5AAAAAXNSR0IArs4c&#10;6QAAAARnQU1BAACxjwv8YQUAAAAJcEhZcwAAIdUAACHVAQSctJ0AAAGNSURBVHhe7dYhboRgFEbR&#10;7n8h3RMOgcSRmkmAjvgnmaSKCU2uOMc89T59v74BADK2bTtfZAoAECJTAIAomQIARMkUACBKpgAA&#10;UTIFAIiSKQBAlEwBAKJkCgAQJVMAgCiZAgBEyRQAIEqmAABRMgUAiJIpAECUTAEAomQKABAlUwCA&#10;KJkCAETJFAAgSqYAAFEyBQCIuidTpmn6AQD4Y1mWkQvX3ZMp8zyPDQCAN+u6jly4TqYAAP9IpgAA&#10;UTIFAIiSKQBAlEwBAKJkCgAQJVMAgCiZAgBEyRQAIEqmAABRMgUAiJIpAECUTAEAomQKABAlUwCA&#10;KJkCAETJFAAgSqYAAFEyBQCIkikAQJRMAQCiZAoAECVTAIAomQIARMkUACBKpgAAUTIFAIiSKQBA&#10;lEwBAKJkCgAQJVMAgCiZAgBEyRQAIEqmAABRMgUAiJIpAECUTAEAomQKABAlUwCAqNsy5fGpfd/H&#10;BgDAm+M4Ri5c9/wdK89MGRcAIEamAABRMgUAiJIpAECUTAEAks7zF9gFkFmIiVc3AAAAAElFTkSu&#10;QmCCUEsDBAoAAAAAAAAAIQAXbTiU8gEAAPIBAAAUAAAAZHJzL21lZGlhL2ltYWdlMi5wbmeJUE5H&#10;DQoaCgAAAA1JSERSAAAC3gAAAEYIAgAAAHRcBA8AAAABc1JHQgCuzhzpAAAABGdBTUEAALGPC/xh&#10;BQAAAAlwSFlzAAAh1QAAIdUBBJy0nQAAAYdJREFUeF7t1jFqw1AABUHf/yC+l0o1AhVBkEI/EH7A&#10;rYLAC55pXvfqfTwBAN5q3/fxR5oAAG8mTQCAEGkCAIRIEwAgRJoAACHSBAAIkSYAQIg0AQBCpAkA&#10;ECJNAIAQaQIAhEgTACBEmgAAIdIEAAiRJgBAiDQBAEKkCQAQIk0AgBBpAgCESBMAIESaAAAh0gQA&#10;CLknTZZl+QIA+LVt20yE6+5Jk3Vd5wcA8PGO45iJcJ00AQBuJk0AgBBpAgCESBMAIESaAAAh0gQA&#10;CJEmAECINAEAQqQJABAiTQCAEGkCAIRIEwAgRJoAACHSBAAIkSYAQIg0AQBCpAkAECJNAIAQaQIA&#10;hEgTACBEmgAAIdIEAAiRJgBAiDQBAEKkCQAQIk0AgBBpAgCESBMAIESaAAAh0gQACJEmAECINAEA&#10;QqQJABAiTQCAEGkCAIRIEwAgRJoAACHSBAAIkSYAQMhtafL9X+d5zg8AgDFmIlz3GhWPuQAAAdIE&#10;AAiRJgBAiDQBAEKkCQCQMcYPCoSz/I/w1lcAAAAASUVORK5CYIJQSwECLQAUAAYACAAAACEAsYJn&#10;tgoBAAATAgAAEwAAAAAAAAAAAAAAAAAAAAAAW0NvbnRlbnRfVHlwZXNdLnhtbFBLAQItABQABgAI&#10;AAAAIQA4/SH/1gAAAJQBAAALAAAAAAAAAAAAAAAAADsBAABfcmVscy8ucmVsc1BLAQItABQABgAI&#10;AAAAIQDPH54wxAQAANgOAAAOAAAAAAAAAAAAAAAAADoCAABkcnMvZTJvRG9jLnhtbFBLAQItABQA&#10;BgAIAAAAIQAubPAAxQAAAKUBAAAZAAAAAAAAAAAAAAAAACoHAABkcnMvX3JlbHMvZTJvRG9jLnht&#10;bC5yZWxzUEsBAi0AFAAGAAgAAAAhAEd+eOPhAAAACwEAAA8AAAAAAAAAAAAAAAAAJggAAGRycy9k&#10;b3ducmV2LnhtbFBLAQItAAoAAAAAAAAAIQAWpFLw+AEAAPgBAAAUAAAAAAAAAAAAAAAAADQJAABk&#10;cnMvbWVkaWEvaW1hZ2UxLnBuZ1BLAQItAAoAAAAAAAAAIQAXbTiU8gEAAPIBAAAUAAAAAAAAAAAA&#10;AAAAAF4LAABkcnMvbWVkaWEvaW1hZ2UyLnBuZ1BLBQYAAAAABwAHAL4BAACCDQAAAAA=&#10;">
                <v:shape id="_x0000_s1056" type="#_x0000_t202" style="position:absolute;left:1617;top:3648;width:29665;height:1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6909BC" w:rsidRPr="00A15524" w:rsidRDefault="006909BC" w:rsidP="008C52C1">
                        <w:pPr>
                          <w:pStyle w:val="CVText"/>
                          <w:spacing w:line="240" w:lineRule="auto"/>
                          <w:ind w:right="360"/>
                          <w:jc w:val="center"/>
                          <w:rPr>
                            <w:b/>
                            <w:i/>
                            <w:color w:val="005997"/>
                          </w:rPr>
                        </w:pPr>
                        <w:r>
                          <w:rPr>
                            <w:rFonts w:asciiTheme="minorHAnsi" w:hAnsiTheme="minorHAnsi"/>
                            <w:b/>
                            <w:i/>
                            <w:color w:val="005997"/>
                            <w:sz w:val="28"/>
                            <w:szCs w:val="28"/>
                            <w:lang w:val="en-US"/>
                          </w:rPr>
                          <w:t xml:space="preserve">Over $16 million </w:t>
                        </w:r>
                        <w:r w:rsidRPr="008C52C1">
                          <w:rPr>
                            <w:rFonts w:asciiTheme="minorHAnsi" w:hAnsiTheme="minorHAnsi"/>
                            <w:b/>
                            <w:i/>
                            <w:color w:val="005997"/>
                            <w:sz w:val="28"/>
                            <w:szCs w:val="28"/>
                            <w:lang w:val="en-US"/>
                          </w:rPr>
                          <w:t>in grant funds have been awarded</w:t>
                        </w:r>
                        <w:r>
                          <w:rPr>
                            <w:rFonts w:asciiTheme="minorHAnsi" w:hAnsiTheme="minorHAnsi"/>
                            <w:b/>
                            <w:i/>
                            <w:color w:val="005997"/>
                            <w:sz w:val="28"/>
                            <w:szCs w:val="28"/>
                            <w:lang w:val="en-US"/>
                          </w:rPr>
                          <w:t xml:space="preserve"> to entities in the San Diego region to complete advanced technology projects</w:t>
                        </w:r>
                      </w:p>
                    </w:txbxContent>
                  </v:textbox>
                </v:shape>
                <v:shape id="Picture 8" o:spid="_x0000_s1057"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ZUzbGAAAA2wAAAA8AAABkcnMvZG93bnJldi54bWxEj09rwkAUxO+FfoflCb3VTcSWEl2DSAMW&#10;D/5pQY/P7GsSmn2bZFdN/fSuUOhxmJnfMNO0N7U4U+cqywriYQSCOLe64kLB12f2/AbCeWSNtWVS&#10;8EsO0tnjwxQTbS+8pfPOFyJA2CWooPS+SaR0eUkG3dA2xMH7tp1BH2RXSN3hJcBNLUdR9CoNVhwW&#10;SmxoUVL+szsZBavicKJ4/bFoabR/32TbVXt1R6WeBv18AsJT7//Df+2lVjB+gfuX8APk7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BlTNsYAAADbAAAADwAAAAAAAAAAAAAA&#10;AACfAgAAZHJzL2Rvd25yZXYueG1sUEsFBgAAAAAEAAQA9wAAAJIDAAAAAA==&#10;">
                  <v:imagedata r:id="rId25" o:title="3mm_Frame_CV_19April2010-01_Top" croptop="-37860f" cropbottom="3123f" cropleft="160f" cropright="-106f" recolortarget="#1d4f5c [1448]"/>
                  <v:path arrowok="t"/>
                </v:shape>
                <v:shape id="Picture 8" o:spid="_x0000_s1058" type="#_x0000_t75" alt="3mm_Frame_CV_19April2010-01_Top.png" style="position:absolute;top:15449;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Xi33DAAAA2wAAAA8AAABkcnMvZG93bnJldi54bWxEj81qwzAQhO+BvoPYQm6x3B+McaOEkFDw&#10;qdA09LxYG9vYWrmSGtt5+ioQ6HGYmW+Y9XYyvbiQ861lBU9JCoK4srrlWsHp632Vg/ABWWNvmRTM&#10;5GG7eVissdB25E+6HEMtIoR9gQqaEIZCSl81ZNAndiCO3tk6gyFKV0vtcIxw08vnNM2kwZbjQoMD&#10;7RuquuOvUeDy7mcuq4/vw4um8WqGLiOZKrV8nHZvIAJN4T98b5dawWsGty/xB8jN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leLfcMAAADbAAAADwAAAAAAAAAAAAAAAACf&#10;AgAAZHJzL2Rvd25yZXYueG1sUEsFBgAAAAAEAAQA9wAAAI8DAAAAAA==&#10;">
                  <v:imagedata r:id="rId26" o:title="3mm_Frame_CV_19April2010-01_Top" croptop="-37860f" cropbottom="3123f" cropleft="-452f" cropright="506f" recolortarget="#1d4f5c [1448]"/>
                  <v:path arrowok="t"/>
                </v:shape>
                <w10:wrap type="square"/>
              </v:group>
            </w:pict>
          </mc:Fallback>
        </mc:AlternateContent>
      </w:r>
      <w:r w:rsidR="00524127" w:rsidRPr="00DE185C">
        <w:rPr>
          <w:rFonts w:ascii="Calibri" w:hAnsi="Calibri"/>
        </w:rPr>
        <w:t xml:space="preserve">As </w:t>
      </w:r>
      <w:r w:rsidR="0088768C">
        <w:rPr>
          <w:rFonts w:ascii="Calibri" w:hAnsi="Calibri"/>
        </w:rPr>
        <w:t>established by AB 118 and extended by AB 8</w:t>
      </w:r>
      <w:r w:rsidR="001B3DF5">
        <w:rPr>
          <w:rFonts w:ascii="Calibri" w:hAnsi="Calibri"/>
        </w:rPr>
        <w:t>,</w:t>
      </w:r>
      <w:r w:rsidR="00741DD2">
        <w:rPr>
          <w:rFonts w:ascii="Calibri" w:hAnsi="Calibri"/>
        </w:rPr>
        <w:t xml:space="preserve"> </w:t>
      </w:r>
      <w:r w:rsidR="00524127" w:rsidRPr="00DE185C">
        <w:rPr>
          <w:rFonts w:ascii="Calibri" w:hAnsi="Calibri"/>
        </w:rPr>
        <w:t xml:space="preserve">the </w:t>
      </w:r>
      <w:r w:rsidR="008835C8" w:rsidRPr="00DE185C">
        <w:rPr>
          <w:rFonts w:ascii="Calibri" w:hAnsi="Calibri"/>
        </w:rPr>
        <w:t xml:space="preserve">Energy Commission </w:t>
      </w:r>
      <w:r w:rsidR="00587B62" w:rsidRPr="00DE185C">
        <w:rPr>
          <w:rFonts w:ascii="Calibri" w:hAnsi="Calibri"/>
        </w:rPr>
        <w:t xml:space="preserve">is responsible for </w:t>
      </w:r>
      <w:r w:rsidR="00524127" w:rsidRPr="00DE185C">
        <w:rPr>
          <w:rFonts w:ascii="Calibri" w:hAnsi="Calibri"/>
        </w:rPr>
        <w:t>manag</w:t>
      </w:r>
      <w:r w:rsidR="00587B62" w:rsidRPr="00DE185C">
        <w:rPr>
          <w:rFonts w:ascii="Calibri" w:hAnsi="Calibri"/>
        </w:rPr>
        <w:t>ing</w:t>
      </w:r>
      <w:r w:rsidR="00524127" w:rsidRPr="00DE185C">
        <w:rPr>
          <w:rFonts w:ascii="Calibri" w:hAnsi="Calibri"/>
        </w:rPr>
        <w:t xml:space="preserve"> the Alternative and Renewable Fuel and Vehicle Technology Program (ARFVTP). This program provides grants to deploy and develop advanced transportation technologies and alternative and renewable fuels that will help the state achieve its climate change mitigation goals. </w:t>
      </w:r>
      <w:r w:rsidR="00587B62" w:rsidRPr="00DE185C">
        <w:rPr>
          <w:rFonts w:ascii="Calibri" w:hAnsi="Calibri"/>
        </w:rPr>
        <w:t xml:space="preserve">The Energy Commission </w:t>
      </w:r>
      <w:r w:rsidR="00524127" w:rsidRPr="00DE185C">
        <w:rPr>
          <w:rFonts w:ascii="Calibri" w:hAnsi="Calibri"/>
        </w:rPr>
        <w:t xml:space="preserve">has an annual program budget of around $100 million to support such projects. </w:t>
      </w:r>
    </w:p>
    <w:p w:rsidR="00524127" w:rsidRPr="00DE185C" w:rsidRDefault="00524127" w:rsidP="00524127">
      <w:pPr>
        <w:rPr>
          <w:rFonts w:ascii="Calibri" w:hAnsi="Calibri"/>
        </w:rPr>
      </w:pPr>
      <w:r w:rsidRPr="00DE185C">
        <w:rPr>
          <w:rFonts w:ascii="Calibri" w:hAnsi="Calibri"/>
        </w:rPr>
        <w:t>ARFVTP has funded over 460 clean transportation projects and invested over $531 million in infrastructure and advanced transportation technologies.</w:t>
      </w:r>
      <w:r w:rsidRPr="00DE185C">
        <w:rPr>
          <w:rStyle w:val="FootnoteReference"/>
          <w:rFonts w:ascii="Calibri" w:hAnsi="Calibri"/>
        </w:rPr>
        <w:footnoteReference w:id="29"/>
      </w:r>
      <w:r w:rsidRPr="00DE185C">
        <w:rPr>
          <w:rFonts w:ascii="Calibri" w:hAnsi="Calibri"/>
        </w:rPr>
        <w:t xml:space="preserve"> </w:t>
      </w:r>
      <w:r w:rsidR="006D17A5" w:rsidRPr="00DE185C">
        <w:rPr>
          <w:rFonts w:ascii="Calibri" w:hAnsi="Calibri"/>
        </w:rPr>
        <w:t xml:space="preserve">Primary </w:t>
      </w:r>
      <w:r w:rsidRPr="00DE185C">
        <w:rPr>
          <w:rFonts w:ascii="Calibri" w:hAnsi="Calibri"/>
        </w:rPr>
        <w:t>investment</w:t>
      </w:r>
      <w:r w:rsidR="006D17A5" w:rsidRPr="00DE185C">
        <w:rPr>
          <w:rFonts w:ascii="Calibri" w:hAnsi="Calibri"/>
        </w:rPr>
        <w:t>s</w:t>
      </w:r>
      <w:r w:rsidRPr="00DE185C">
        <w:rPr>
          <w:rFonts w:ascii="Calibri" w:hAnsi="Calibri"/>
        </w:rPr>
        <w:t xml:space="preserve"> </w:t>
      </w:r>
      <w:r w:rsidR="006D17A5" w:rsidRPr="00DE185C">
        <w:rPr>
          <w:rFonts w:ascii="Calibri" w:hAnsi="Calibri"/>
        </w:rPr>
        <w:t xml:space="preserve">are </w:t>
      </w:r>
      <w:r w:rsidRPr="00DE185C">
        <w:rPr>
          <w:rFonts w:ascii="Calibri" w:hAnsi="Calibri"/>
        </w:rPr>
        <w:t>in electric drive, biofuels, natural gas, hydrogen, workplace development, and market and program development</w:t>
      </w:r>
      <w:r w:rsidR="00345EFF" w:rsidRPr="00DE185C">
        <w:rPr>
          <w:rFonts w:ascii="Calibri" w:hAnsi="Calibri"/>
        </w:rPr>
        <w:t>,</w:t>
      </w:r>
      <w:r w:rsidR="009426DA">
        <w:rPr>
          <w:rFonts w:ascii="Calibri" w:hAnsi="Calibri"/>
        </w:rPr>
        <w:t xml:space="preserve"> </w:t>
      </w:r>
      <w:r w:rsidR="00345EFF" w:rsidRPr="00DE185C">
        <w:rPr>
          <w:rFonts w:ascii="Calibri" w:hAnsi="Calibri"/>
        </w:rPr>
        <w:t>a</w:t>
      </w:r>
      <w:r w:rsidR="006D17A5" w:rsidRPr="00DE185C">
        <w:rPr>
          <w:rFonts w:ascii="Calibri" w:hAnsi="Calibri"/>
        </w:rPr>
        <w:t>ll of</w:t>
      </w:r>
      <w:r w:rsidRPr="00DE185C">
        <w:rPr>
          <w:rFonts w:ascii="Calibri" w:hAnsi="Calibri"/>
        </w:rPr>
        <w:t xml:space="preserve"> which </w:t>
      </w:r>
      <w:r w:rsidR="003915DA" w:rsidRPr="00DE185C">
        <w:rPr>
          <w:rFonts w:ascii="Calibri" w:hAnsi="Calibri"/>
        </w:rPr>
        <w:t>have</w:t>
      </w:r>
      <w:r w:rsidR="006D17A5" w:rsidRPr="00DE185C">
        <w:rPr>
          <w:rFonts w:ascii="Calibri" w:hAnsi="Calibri"/>
        </w:rPr>
        <w:t xml:space="preserve"> </w:t>
      </w:r>
      <w:r w:rsidRPr="00DE185C">
        <w:rPr>
          <w:rFonts w:ascii="Calibri" w:hAnsi="Calibri"/>
        </w:rPr>
        <w:t xml:space="preserve">supported the increase </w:t>
      </w:r>
      <w:r w:rsidR="006D17A5" w:rsidRPr="00DE185C">
        <w:rPr>
          <w:rFonts w:ascii="Calibri" w:hAnsi="Calibri"/>
        </w:rPr>
        <w:t xml:space="preserve">in </w:t>
      </w:r>
      <w:r w:rsidRPr="00DE185C">
        <w:rPr>
          <w:rFonts w:ascii="Calibri" w:hAnsi="Calibri"/>
        </w:rPr>
        <w:t>alternative fuel vehicles, fuel production</w:t>
      </w:r>
      <w:r w:rsidR="00345EFF" w:rsidRPr="00DE185C">
        <w:rPr>
          <w:rFonts w:ascii="Calibri" w:hAnsi="Calibri"/>
        </w:rPr>
        <w:t>,</w:t>
      </w:r>
      <w:r w:rsidRPr="00DE185C">
        <w:rPr>
          <w:rFonts w:ascii="Calibri" w:hAnsi="Calibri"/>
        </w:rPr>
        <w:t xml:space="preserve"> and infrastructure. </w:t>
      </w:r>
    </w:p>
    <w:p w:rsidR="00524127" w:rsidRPr="00DE185C" w:rsidRDefault="00FB3A05" w:rsidP="00524127">
      <w:pPr>
        <w:rPr>
          <w:rFonts w:ascii="Calibri" w:hAnsi="Calibri"/>
        </w:rPr>
      </w:pPr>
      <w:r>
        <w:rPr>
          <w:rFonts w:ascii="Calibri" w:hAnsi="Calibri"/>
        </w:rPr>
        <w:t>Table 9-1</w:t>
      </w:r>
      <w:r w:rsidR="00524127" w:rsidRPr="00DE185C">
        <w:rPr>
          <w:rFonts w:ascii="Calibri" w:hAnsi="Calibri"/>
        </w:rPr>
        <w:t xml:space="preserve"> shows how much ARFVTP </w:t>
      </w:r>
      <w:r w:rsidR="00671EA9" w:rsidRPr="00DE185C">
        <w:rPr>
          <w:rFonts w:ascii="Calibri" w:hAnsi="Calibri"/>
        </w:rPr>
        <w:t xml:space="preserve">funding </w:t>
      </w:r>
      <w:r w:rsidR="00524127" w:rsidRPr="00DE185C">
        <w:rPr>
          <w:rFonts w:ascii="Calibri" w:hAnsi="Calibri"/>
        </w:rPr>
        <w:t xml:space="preserve">has </w:t>
      </w:r>
      <w:r w:rsidR="00671EA9" w:rsidRPr="00DE185C">
        <w:rPr>
          <w:rFonts w:ascii="Calibri" w:hAnsi="Calibri"/>
        </w:rPr>
        <w:t xml:space="preserve">been </w:t>
      </w:r>
      <w:r w:rsidR="00524127" w:rsidRPr="00DE185C">
        <w:rPr>
          <w:rFonts w:ascii="Calibri" w:hAnsi="Calibri"/>
        </w:rPr>
        <w:t xml:space="preserve">invested </w:t>
      </w:r>
      <w:r w:rsidR="00671EA9" w:rsidRPr="00DE185C">
        <w:rPr>
          <w:rFonts w:ascii="Calibri" w:hAnsi="Calibri"/>
        </w:rPr>
        <w:t xml:space="preserve">for projects in the </w:t>
      </w:r>
      <w:r w:rsidR="00524127" w:rsidRPr="00DE185C">
        <w:rPr>
          <w:rFonts w:ascii="Calibri" w:hAnsi="Calibri"/>
        </w:rPr>
        <w:t xml:space="preserve">San Diego region since 2011. </w:t>
      </w:r>
      <w:r w:rsidR="00F536B5" w:rsidRPr="00DE185C">
        <w:rPr>
          <w:rFonts w:ascii="Calibri" w:hAnsi="Calibri"/>
        </w:rPr>
        <w:t>The</w:t>
      </w:r>
      <w:r w:rsidR="00555561" w:rsidRPr="00DE185C">
        <w:rPr>
          <w:rFonts w:ascii="Calibri" w:hAnsi="Calibri"/>
        </w:rPr>
        <w:t xml:space="preserve"> </w:t>
      </w:r>
      <w:r w:rsidR="005112B6" w:rsidRPr="00DE185C">
        <w:rPr>
          <w:rFonts w:ascii="Calibri" w:hAnsi="Calibri"/>
        </w:rPr>
        <w:t>variety of projects shows the region’s overall commitment to advancing alternative fuel technology.</w:t>
      </w:r>
    </w:p>
    <w:p w:rsidR="00524127" w:rsidRPr="00DE185C" w:rsidRDefault="00524127" w:rsidP="00524127">
      <w:pPr>
        <w:spacing w:before="240"/>
        <w:contextualSpacing/>
        <w:jc w:val="center"/>
        <w:rPr>
          <w:rFonts w:ascii="Calibri" w:hAnsi="Calibri"/>
        </w:rPr>
      </w:pPr>
    </w:p>
    <w:p w:rsidR="008C5E54" w:rsidRPr="00DE185C" w:rsidRDefault="008C5E54">
      <w:pPr>
        <w:rPr>
          <w:rStyle w:val="BookTitle"/>
          <w:rFonts w:ascii="Calibri" w:hAnsi="Calibri"/>
          <w:lang w:eastAsia="zh-CN"/>
        </w:rPr>
      </w:pPr>
      <w:r w:rsidRPr="00DE185C">
        <w:rPr>
          <w:rStyle w:val="BookTitle"/>
          <w:rFonts w:ascii="Calibri" w:hAnsi="Calibri"/>
        </w:rPr>
        <w:br w:type="page"/>
      </w:r>
    </w:p>
    <w:p w:rsidR="00524127" w:rsidRPr="00DE185C" w:rsidRDefault="00524127" w:rsidP="00C768E1">
      <w:pPr>
        <w:pStyle w:val="Heading5"/>
        <w:rPr>
          <w:rStyle w:val="BookTitle"/>
          <w:rFonts w:ascii="Calibri" w:hAnsi="Calibri"/>
          <w:b/>
          <w:bCs w:val="0"/>
          <w:spacing w:val="0"/>
        </w:rPr>
      </w:pPr>
      <w:bookmarkStart w:id="77" w:name="_Toc416259324"/>
      <w:r w:rsidRPr="00DE185C">
        <w:rPr>
          <w:rStyle w:val="BookTitle"/>
          <w:rFonts w:ascii="Calibri" w:hAnsi="Calibri"/>
          <w:b/>
          <w:bCs w:val="0"/>
          <w:spacing w:val="0"/>
          <w:sz w:val="24"/>
        </w:rPr>
        <w:t xml:space="preserve">Table </w:t>
      </w:r>
      <w:r w:rsidR="00BF7A75" w:rsidRPr="00DE185C">
        <w:rPr>
          <w:rStyle w:val="BookTitle"/>
          <w:rFonts w:ascii="Calibri" w:hAnsi="Calibri"/>
          <w:b/>
          <w:bCs w:val="0"/>
          <w:spacing w:val="0"/>
          <w:sz w:val="24"/>
        </w:rPr>
        <w:t>9-1</w:t>
      </w:r>
      <w:r w:rsidRPr="00DE185C">
        <w:rPr>
          <w:rStyle w:val="BookTitle"/>
          <w:rFonts w:ascii="Calibri" w:hAnsi="Calibri"/>
          <w:b/>
          <w:bCs w:val="0"/>
          <w:spacing w:val="0"/>
          <w:sz w:val="24"/>
        </w:rPr>
        <w:t>: ARFVTP Funding: Awards Given to</w:t>
      </w:r>
      <w:r w:rsidR="00555561" w:rsidRPr="00DE185C">
        <w:rPr>
          <w:rStyle w:val="BookTitle"/>
          <w:rFonts w:ascii="Calibri" w:hAnsi="Calibri"/>
          <w:b/>
          <w:bCs w:val="0"/>
          <w:spacing w:val="0"/>
          <w:sz w:val="24"/>
        </w:rPr>
        <w:t xml:space="preserve"> Projects in</w:t>
      </w:r>
      <w:r w:rsidRPr="00DE185C">
        <w:rPr>
          <w:rStyle w:val="BookTitle"/>
          <w:rFonts w:ascii="Calibri" w:hAnsi="Calibri"/>
          <w:b/>
          <w:bCs w:val="0"/>
          <w:spacing w:val="0"/>
          <w:sz w:val="24"/>
        </w:rPr>
        <w:t xml:space="preserve"> San Diego </w:t>
      </w:r>
      <w:r w:rsidR="00555561" w:rsidRPr="00DE185C">
        <w:rPr>
          <w:rStyle w:val="BookTitle"/>
          <w:rFonts w:ascii="Calibri" w:hAnsi="Calibri"/>
          <w:b/>
          <w:bCs w:val="0"/>
          <w:spacing w:val="0"/>
          <w:sz w:val="24"/>
        </w:rPr>
        <w:t>Region</w:t>
      </w:r>
      <w:bookmarkEnd w:id="77"/>
    </w:p>
    <w:tbl>
      <w:tblPr>
        <w:tblW w:w="6490" w:type="dxa"/>
        <w:jc w:val="center"/>
        <w:tblInd w:w="-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8"/>
        <w:gridCol w:w="2774"/>
        <w:gridCol w:w="1192"/>
        <w:gridCol w:w="1616"/>
      </w:tblGrid>
      <w:tr w:rsidR="007E5D8F" w:rsidRPr="00DE185C" w:rsidTr="00A15524">
        <w:trPr>
          <w:trHeight w:val="750"/>
          <w:jc w:val="center"/>
        </w:trPr>
        <w:tc>
          <w:tcPr>
            <w:tcW w:w="908" w:type="dxa"/>
            <w:shd w:val="clear" w:color="auto" w:fill="314B5A"/>
            <w:vAlign w:val="center"/>
            <w:hideMark/>
          </w:tcPr>
          <w:p w:rsidR="007E5D8F" w:rsidRPr="00DE185C" w:rsidRDefault="007E5D8F" w:rsidP="002E1FA2">
            <w:pPr>
              <w:spacing w:after="0" w:line="240" w:lineRule="auto"/>
              <w:rPr>
                <w:rFonts w:ascii="Calibri" w:eastAsia="Times New Roman" w:hAnsi="Calibri" w:cs="Times New Roman"/>
                <w:b/>
                <w:bCs/>
                <w:color w:val="FFFFFF" w:themeColor="background1"/>
                <w:sz w:val="20"/>
                <w:szCs w:val="20"/>
              </w:rPr>
            </w:pPr>
            <w:r w:rsidRPr="00DE185C">
              <w:rPr>
                <w:rFonts w:ascii="Calibri" w:eastAsia="Times New Roman" w:hAnsi="Calibri" w:cs="Times New Roman"/>
                <w:b/>
                <w:bCs/>
                <w:color w:val="FFFFFF" w:themeColor="background1"/>
                <w:sz w:val="20"/>
                <w:szCs w:val="20"/>
              </w:rPr>
              <w:t>PON #</w:t>
            </w:r>
          </w:p>
        </w:tc>
        <w:tc>
          <w:tcPr>
            <w:tcW w:w="2774" w:type="dxa"/>
            <w:shd w:val="clear" w:color="auto" w:fill="314B5A"/>
            <w:vAlign w:val="center"/>
            <w:hideMark/>
          </w:tcPr>
          <w:p w:rsidR="007E5D8F" w:rsidRPr="00DE185C" w:rsidRDefault="007E5D8F" w:rsidP="002E1FA2">
            <w:pPr>
              <w:spacing w:after="0" w:line="240" w:lineRule="auto"/>
              <w:rPr>
                <w:rFonts w:ascii="Calibri" w:eastAsia="Times New Roman" w:hAnsi="Calibri" w:cs="Times New Roman"/>
                <w:b/>
                <w:bCs/>
                <w:color w:val="FFFFFF" w:themeColor="background1"/>
                <w:sz w:val="20"/>
                <w:szCs w:val="20"/>
              </w:rPr>
            </w:pPr>
            <w:r w:rsidRPr="00DE185C">
              <w:rPr>
                <w:rFonts w:ascii="Calibri" w:eastAsia="Times New Roman" w:hAnsi="Calibri" w:cs="Times New Roman"/>
                <w:b/>
                <w:bCs/>
                <w:color w:val="FFFFFF" w:themeColor="background1"/>
                <w:sz w:val="20"/>
                <w:szCs w:val="20"/>
              </w:rPr>
              <w:t>PON Name</w:t>
            </w:r>
          </w:p>
        </w:tc>
        <w:tc>
          <w:tcPr>
            <w:tcW w:w="1192" w:type="dxa"/>
            <w:shd w:val="clear" w:color="auto" w:fill="314B5A"/>
            <w:vAlign w:val="center"/>
            <w:hideMark/>
          </w:tcPr>
          <w:p w:rsidR="007E5D8F" w:rsidRPr="00DE185C" w:rsidRDefault="007E5D8F" w:rsidP="002E1FA2">
            <w:pPr>
              <w:spacing w:after="0" w:line="240" w:lineRule="auto"/>
              <w:rPr>
                <w:rFonts w:ascii="Calibri" w:eastAsia="Times New Roman" w:hAnsi="Calibri" w:cs="Times New Roman"/>
                <w:b/>
                <w:bCs/>
                <w:color w:val="FFFFFF" w:themeColor="background1"/>
                <w:sz w:val="20"/>
                <w:szCs w:val="20"/>
              </w:rPr>
            </w:pPr>
            <w:r w:rsidRPr="00DE185C">
              <w:rPr>
                <w:rFonts w:ascii="Calibri" w:eastAsia="Times New Roman" w:hAnsi="Calibri" w:cs="Times New Roman"/>
                <w:b/>
                <w:bCs/>
                <w:color w:val="FFFFFF" w:themeColor="background1"/>
                <w:sz w:val="20"/>
                <w:szCs w:val="20"/>
              </w:rPr>
              <w:t>Date Released</w:t>
            </w:r>
          </w:p>
        </w:tc>
        <w:tc>
          <w:tcPr>
            <w:tcW w:w="1616" w:type="dxa"/>
            <w:shd w:val="clear" w:color="auto" w:fill="314B5A"/>
            <w:vAlign w:val="center"/>
            <w:hideMark/>
          </w:tcPr>
          <w:p w:rsidR="007E5D8F" w:rsidRPr="00DE185C" w:rsidRDefault="007E5D8F" w:rsidP="00644C3C">
            <w:pPr>
              <w:spacing w:after="0" w:line="240" w:lineRule="auto"/>
              <w:rPr>
                <w:rFonts w:ascii="Calibri" w:eastAsia="Times New Roman" w:hAnsi="Calibri" w:cs="Times New Roman"/>
                <w:b/>
                <w:bCs/>
                <w:color w:val="FFFFFF" w:themeColor="background1"/>
                <w:sz w:val="20"/>
                <w:szCs w:val="20"/>
              </w:rPr>
            </w:pPr>
            <w:r w:rsidRPr="00DE185C">
              <w:rPr>
                <w:rFonts w:ascii="Calibri" w:eastAsia="Times New Roman" w:hAnsi="Calibri" w:cs="Times New Roman"/>
                <w:b/>
                <w:bCs/>
                <w:color w:val="FFFFFF" w:themeColor="background1"/>
                <w:sz w:val="20"/>
                <w:szCs w:val="20"/>
              </w:rPr>
              <w:t xml:space="preserve">Amount Awarded to </w:t>
            </w:r>
            <w:r w:rsidR="00644C3C">
              <w:rPr>
                <w:rFonts w:ascii="Calibri" w:eastAsia="Times New Roman" w:hAnsi="Calibri" w:cs="Times New Roman"/>
                <w:b/>
                <w:bCs/>
                <w:color w:val="FFFFFF" w:themeColor="background1"/>
                <w:sz w:val="20"/>
                <w:szCs w:val="20"/>
              </w:rPr>
              <w:t>Local</w:t>
            </w:r>
            <w:r w:rsidR="00A15524">
              <w:rPr>
                <w:rFonts w:ascii="Calibri" w:eastAsia="Times New Roman" w:hAnsi="Calibri" w:cs="Times New Roman"/>
                <w:b/>
                <w:bCs/>
                <w:color w:val="FFFFFF" w:themeColor="background1"/>
                <w:sz w:val="20"/>
                <w:szCs w:val="20"/>
              </w:rPr>
              <w:t xml:space="preserve"> </w:t>
            </w:r>
            <w:r w:rsidRPr="00DE185C">
              <w:rPr>
                <w:rFonts w:ascii="Calibri" w:eastAsia="Times New Roman" w:hAnsi="Calibri" w:cs="Times New Roman"/>
                <w:b/>
                <w:bCs/>
                <w:color w:val="FFFFFF" w:themeColor="background1"/>
                <w:sz w:val="20"/>
                <w:szCs w:val="20"/>
              </w:rPr>
              <w:t>Entity</w:t>
            </w:r>
          </w:p>
        </w:tc>
      </w:tr>
      <w:tr w:rsidR="007E5D8F" w:rsidRPr="00DE185C" w:rsidTr="00A15524">
        <w:trPr>
          <w:trHeight w:val="530"/>
          <w:jc w:val="center"/>
        </w:trPr>
        <w:tc>
          <w:tcPr>
            <w:tcW w:w="908" w:type="dxa"/>
            <w:shd w:val="clear" w:color="auto" w:fill="B6DDE8" w:themeFill="accent5" w:themeFillTint="66"/>
            <w:vAlign w:val="center"/>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10-602</w:t>
            </w:r>
          </w:p>
        </w:tc>
        <w:tc>
          <w:tcPr>
            <w:tcW w:w="2774" w:type="dxa"/>
            <w:shd w:val="clear" w:color="auto" w:fill="B6DDE8" w:themeFill="accent5" w:themeFillTint="66"/>
            <w:vAlign w:val="center"/>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Regional Plans to Support Plug-In Electric Vehicle Readiness</w:t>
            </w:r>
          </w:p>
        </w:tc>
        <w:tc>
          <w:tcPr>
            <w:tcW w:w="1192" w:type="dxa"/>
            <w:shd w:val="clear" w:color="auto" w:fill="B6DDE8" w:themeFill="accent5" w:themeFillTint="66"/>
            <w:vAlign w:val="center"/>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5/12/2011</w:t>
            </w:r>
          </w:p>
        </w:tc>
        <w:tc>
          <w:tcPr>
            <w:tcW w:w="1616" w:type="dxa"/>
            <w:shd w:val="clear" w:color="auto" w:fill="B6DDE8" w:themeFill="accent5" w:themeFillTint="66"/>
            <w:vAlign w:val="center"/>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$200,000</w:t>
            </w:r>
          </w:p>
        </w:tc>
      </w:tr>
      <w:tr w:rsidR="007E5D8F" w:rsidRPr="00DE185C" w:rsidTr="00A15524">
        <w:trPr>
          <w:trHeight w:val="530"/>
          <w:jc w:val="center"/>
        </w:trPr>
        <w:tc>
          <w:tcPr>
            <w:tcW w:w="908"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11-601</w:t>
            </w:r>
          </w:p>
        </w:tc>
        <w:tc>
          <w:tcPr>
            <w:tcW w:w="2774"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Biofuels Production Facilities</w:t>
            </w:r>
          </w:p>
        </w:tc>
        <w:tc>
          <w:tcPr>
            <w:tcW w:w="1192"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1/11/2012</w:t>
            </w:r>
          </w:p>
        </w:tc>
        <w:tc>
          <w:tcPr>
            <w:tcW w:w="1616"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$3,153,657 </w:t>
            </w:r>
          </w:p>
        </w:tc>
      </w:tr>
      <w:tr w:rsidR="007E5D8F" w:rsidRPr="00DE185C" w:rsidTr="00A15524">
        <w:trPr>
          <w:trHeight w:val="1218"/>
          <w:jc w:val="center"/>
        </w:trPr>
        <w:tc>
          <w:tcPr>
            <w:tcW w:w="908"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11-602</w:t>
            </w:r>
          </w:p>
        </w:tc>
        <w:tc>
          <w:tcPr>
            <w:tcW w:w="2774"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Alternative Fuels Infrastructure: Electric, Natural Gas, Propane, E85 &amp; Diesel Substitutes Terminals</w:t>
            </w:r>
          </w:p>
        </w:tc>
        <w:tc>
          <w:tcPr>
            <w:tcW w:w="1192"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2/8/2012</w:t>
            </w:r>
          </w:p>
        </w:tc>
        <w:tc>
          <w:tcPr>
            <w:tcW w:w="1616"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$1,737,234</w:t>
            </w:r>
          </w:p>
        </w:tc>
      </w:tr>
      <w:tr w:rsidR="007E5D8F" w:rsidRPr="00DE185C" w:rsidTr="00A15524">
        <w:trPr>
          <w:trHeight w:val="530"/>
          <w:jc w:val="center"/>
        </w:trPr>
        <w:tc>
          <w:tcPr>
            <w:tcW w:w="908"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12-605</w:t>
            </w:r>
          </w:p>
        </w:tc>
        <w:tc>
          <w:tcPr>
            <w:tcW w:w="2774"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Natural Gas Fueling Infrastructure</w:t>
            </w:r>
          </w:p>
        </w:tc>
        <w:tc>
          <w:tcPr>
            <w:tcW w:w="1192"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11/29/2012</w:t>
            </w:r>
          </w:p>
        </w:tc>
        <w:tc>
          <w:tcPr>
            <w:tcW w:w="1616"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$897,471</w:t>
            </w:r>
          </w:p>
        </w:tc>
      </w:tr>
      <w:tr w:rsidR="007E5D8F" w:rsidRPr="00DE185C" w:rsidTr="00A15524">
        <w:trPr>
          <w:trHeight w:val="70"/>
          <w:jc w:val="center"/>
        </w:trPr>
        <w:tc>
          <w:tcPr>
            <w:tcW w:w="908"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13-603</w:t>
            </w:r>
          </w:p>
        </w:tc>
        <w:tc>
          <w:tcPr>
            <w:tcW w:w="2774"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Alternative Fuel Readiness Plans</w:t>
            </w:r>
          </w:p>
        </w:tc>
        <w:tc>
          <w:tcPr>
            <w:tcW w:w="1192"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8/12/2013</w:t>
            </w:r>
          </w:p>
        </w:tc>
        <w:tc>
          <w:tcPr>
            <w:tcW w:w="1616"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$300,000 </w:t>
            </w:r>
          </w:p>
        </w:tc>
      </w:tr>
      <w:tr w:rsidR="007E5D8F" w:rsidRPr="00DE185C" w:rsidTr="00A15524">
        <w:trPr>
          <w:trHeight w:val="627"/>
          <w:jc w:val="center"/>
        </w:trPr>
        <w:tc>
          <w:tcPr>
            <w:tcW w:w="908"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13-605</w:t>
            </w:r>
          </w:p>
        </w:tc>
        <w:tc>
          <w:tcPr>
            <w:tcW w:w="2774"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Centers for Alternative Fuels and Advanced Vehicle Technology</w:t>
            </w:r>
          </w:p>
        </w:tc>
        <w:tc>
          <w:tcPr>
            <w:tcW w:w="1192"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8/23/2013</w:t>
            </w:r>
          </w:p>
        </w:tc>
        <w:tc>
          <w:tcPr>
            <w:tcW w:w="1616"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$272,263 </w:t>
            </w:r>
          </w:p>
        </w:tc>
      </w:tr>
      <w:tr w:rsidR="007E5D8F" w:rsidRPr="00DE185C" w:rsidTr="00A15524">
        <w:trPr>
          <w:trHeight w:val="70"/>
          <w:jc w:val="center"/>
        </w:trPr>
        <w:tc>
          <w:tcPr>
            <w:tcW w:w="908"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13-606</w:t>
            </w:r>
          </w:p>
        </w:tc>
        <w:tc>
          <w:tcPr>
            <w:tcW w:w="2774"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Electric Vehicle Charging Infrastructure</w:t>
            </w:r>
          </w:p>
        </w:tc>
        <w:tc>
          <w:tcPr>
            <w:tcW w:w="1192"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11/8/2013</w:t>
            </w:r>
          </w:p>
        </w:tc>
        <w:tc>
          <w:tcPr>
            <w:tcW w:w="1616"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$1,122,855</w:t>
            </w:r>
          </w:p>
        </w:tc>
      </w:tr>
      <w:tr w:rsidR="007E5D8F" w:rsidRPr="00DE185C" w:rsidTr="00A15524">
        <w:trPr>
          <w:trHeight w:val="70"/>
          <w:jc w:val="center"/>
        </w:trPr>
        <w:tc>
          <w:tcPr>
            <w:tcW w:w="908"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13-607</w:t>
            </w:r>
          </w:p>
        </w:tc>
        <w:tc>
          <w:tcPr>
            <w:tcW w:w="2774"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Hydrogen Refueling Infrastructure</w:t>
            </w:r>
          </w:p>
        </w:tc>
        <w:tc>
          <w:tcPr>
            <w:tcW w:w="1192"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11/22/2013</w:t>
            </w:r>
          </w:p>
        </w:tc>
        <w:tc>
          <w:tcPr>
            <w:tcW w:w="1616" w:type="dxa"/>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$1,451,000 </w:t>
            </w:r>
          </w:p>
        </w:tc>
      </w:tr>
      <w:tr w:rsidR="007E5D8F" w:rsidRPr="00DE185C" w:rsidTr="00A15524">
        <w:trPr>
          <w:trHeight w:val="440"/>
          <w:jc w:val="center"/>
        </w:trPr>
        <w:tc>
          <w:tcPr>
            <w:tcW w:w="908"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14-603</w:t>
            </w:r>
          </w:p>
        </w:tc>
        <w:tc>
          <w:tcPr>
            <w:tcW w:w="2774"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Zero Emission Vehicle (ZEV) Readiness</w:t>
            </w:r>
          </w:p>
        </w:tc>
        <w:tc>
          <w:tcPr>
            <w:tcW w:w="1192"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9/9/2014</w:t>
            </w:r>
          </w:p>
        </w:tc>
        <w:tc>
          <w:tcPr>
            <w:tcW w:w="1616" w:type="dxa"/>
            <w:shd w:val="clear" w:color="auto" w:fill="B6DDE8" w:themeFill="accent5" w:themeFillTint="66"/>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color w:val="000000"/>
                <w:sz w:val="20"/>
                <w:szCs w:val="20"/>
              </w:rPr>
              <w:t xml:space="preserve">$300,000 </w:t>
            </w:r>
          </w:p>
        </w:tc>
      </w:tr>
      <w:tr w:rsidR="009230E3" w:rsidRPr="00DE185C" w:rsidTr="00A15524">
        <w:trPr>
          <w:trHeight w:val="440"/>
          <w:jc w:val="center"/>
        </w:trPr>
        <w:tc>
          <w:tcPr>
            <w:tcW w:w="908" w:type="dxa"/>
            <w:shd w:val="clear" w:color="auto" w:fill="DAEEF3" w:themeFill="accent5" w:themeFillTint="33"/>
            <w:vAlign w:val="center"/>
          </w:tcPr>
          <w:p w:rsidR="009230E3" w:rsidRPr="00DE185C" w:rsidRDefault="009230E3" w:rsidP="002E1FA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14-605</w:t>
            </w:r>
          </w:p>
        </w:tc>
        <w:tc>
          <w:tcPr>
            <w:tcW w:w="2774" w:type="dxa"/>
            <w:shd w:val="clear" w:color="auto" w:fill="DAEEF3" w:themeFill="accent5" w:themeFillTint="33"/>
            <w:vAlign w:val="center"/>
          </w:tcPr>
          <w:p w:rsidR="009230E3" w:rsidRPr="00DE185C" w:rsidRDefault="009230E3" w:rsidP="002E1FA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Medium- and Heavy-Duty Advanced Vehicle Technology Demonstration</w:t>
            </w:r>
          </w:p>
        </w:tc>
        <w:tc>
          <w:tcPr>
            <w:tcW w:w="1192" w:type="dxa"/>
            <w:shd w:val="clear" w:color="auto" w:fill="DAEEF3" w:themeFill="accent5" w:themeFillTint="33"/>
            <w:vAlign w:val="center"/>
          </w:tcPr>
          <w:p w:rsidR="009230E3" w:rsidRPr="00DE185C" w:rsidRDefault="009230E3" w:rsidP="002E1FA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12/19/2014</w:t>
            </w:r>
          </w:p>
        </w:tc>
        <w:tc>
          <w:tcPr>
            <w:tcW w:w="1616" w:type="dxa"/>
            <w:shd w:val="clear" w:color="auto" w:fill="DAEEF3" w:themeFill="accent5" w:themeFillTint="33"/>
            <w:vAlign w:val="center"/>
          </w:tcPr>
          <w:p w:rsidR="009230E3" w:rsidRPr="00DE185C" w:rsidRDefault="009230E3" w:rsidP="002E1FA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$6,884,812</w:t>
            </w:r>
          </w:p>
        </w:tc>
      </w:tr>
      <w:tr w:rsidR="007E5D8F" w:rsidRPr="00DE185C" w:rsidTr="00A15524">
        <w:trPr>
          <w:trHeight w:val="246"/>
          <w:jc w:val="center"/>
        </w:trPr>
        <w:tc>
          <w:tcPr>
            <w:tcW w:w="4874" w:type="dxa"/>
            <w:gridSpan w:val="3"/>
            <w:shd w:val="clear" w:color="auto" w:fill="DAEEF3" w:themeFill="accent5" w:themeFillTint="33"/>
            <w:vAlign w:val="center"/>
            <w:hideMark/>
          </w:tcPr>
          <w:p w:rsidR="007E5D8F" w:rsidRPr="00DE185C" w:rsidRDefault="007E5D8F" w:rsidP="002E1FA2">
            <w:pPr>
              <w:spacing w:after="0" w:line="240" w:lineRule="auto"/>
              <w:rPr>
                <w:rFonts w:ascii="Calibri" w:eastAsia="Times New Roman" w:hAnsi="Calibri" w:cs="Times New Roman"/>
                <w:color w:val="000000"/>
                <w:sz w:val="20"/>
                <w:szCs w:val="20"/>
              </w:rPr>
            </w:pPr>
            <w:r w:rsidRPr="00DE185C">
              <w:rPr>
                <w:rFonts w:ascii="Calibri" w:eastAsia="Times New Roman" w:hAnsi="Calibri" w:cs="Times New Roman"/>
                <w:i/>
                <w:color w:val="000000"/>
                <w:sz w:val="20"/>
                <w:szCs w:val="20"/>
              </w:rPr>
              <w:t>*PON: Program Opportunity Notice</w:t>
            </w:r>
          </w:p>
        </w:tc>
        <w:tc>
          <w:tcPr>
            <w:tcW w:w="1616" w:type="dxa"/>
            <w:shd w:val="clear" w:color="auto" w:fill="DAEEF3" w:themeFill="accent5" w:themeFillTint="33"/>
            <w:vAlign w:val="center"/>
            <w:hideMark/>
          </w:tcPr>
          <w:p w:rsidR="007E5D8F" w:rsidRPr="00DE185C" w:rsidRDefault="007E5D8F" w:rsidP="00EF63A9">
            <w:pPr>
              <w:spacing w:after="0" w:line="240" w:lineRule="auto"/>
              <w:rPr>
                <w:rFonts w:ascii="Calibri" w:eastAsia="Times New Roman" w:hAnsi="Calibri" w:cs="Times New Roman"/>
                <w:b/>
                <w:color w:val="000000"/>
                <w:sz w:val="20"/>
                <w:szCs w:val="20"/>
              </w:rPr>
            </w:pPr>
            <w:r w:rsidRPr="00DE185C">
              <w:rPr>
                <w:rFonts w:ascii="Calibri" w:eastAsia="Times New Roman" w:hAnsi="Calibri" w:cs="Times New Roman"/>
                <w:b/>
                <w:color w:val="000000"/>
                <w:sz w:val="20"/>
                <w:szCs w:val="20"/>
              </w:rPr>
              <w:t>$</w:t>
            </w:r>
            <w:r w:rsidR="009230E3">
              <w:rPr>
                <w:rFonts w:ascii="Calibri" w:eastAsia="Times New Roman" w:hAnsi="Calibri" w:cs="Times New Roman"/>
                <w:b/>
                <w:color w:val="000000"/>
                <w:sz w:val="20"/>
                <w:szCs w:val="20"/>
              </w:rPr>
              <w:t>16,319,292</w:t>
            </w:r>
          </w:p>
        </w:tc>
      </w:tr>
    </w:tbl>
    <w:p w:rsidR="00524127" w:rsidRPr="00DE185C" w:rsidRDefault="00524127" w:rsidP="00524127">
      <w:pPr>
        <w:spacing w:before="240"/>
        <w:contextualSpacing/>
        <w:rPr>
          <w:rFonts w:ascii="Calibri" w:hAnsi="Calibri"/>
        </w:rPr>
      </w:pPr>
    </w:p>
    <w:p w:rsidR="00524127" w:rsidRPr="00DE185C" w:rsidRDefault="00524127" w:rsidP="00524127">
      <w:pPr>
        <w:spacing w:before="240"/>
        <w:contextualSpacing/>
        <w:rPr>
          <w:rFonts w:ascii="Calibri" w:hAnsi="Calibri"/>
        </w:rPr>
      </w:pPr>
      <w:r w:rsidRPr="00DE185C">
        <w:rPr>
          <w:rFonts w:ascii="Calibri" w:hAnsi="Calibri"/>
        </w:rPr>
        <w:t>Over $</w:t>
      </w:r>
      <w:r w:rsidR="008C52C1">
        <w:rPr>
          <w:rFonts w:ascii="Calibri" w:hAnsi="Calibri"/>
        </w:rPr>
        <w:t>16</w:t>
      </w:r>
      <w:r w:rsidRPr="00DE185C">
        <w:rPr>
          <w:rFonts w:ascii="Calibri" w:hAnsi="Calibri"/>
        </w:rPr>
        <w:t xml:space="preserve"> million in grant</w:t>
      </w:r>
      <w:r w:rsidR="004C35B7">
        <w:rPr>
          <w:rFonts w:ascii="Calibri" w:hAnsi="Calibri"/>
        </w:rPr>
        <w:t xml:space="preserve"> funds</w:t>
      </w:r>
      <w:r w:rsidRPr="00DE185C">
        <w:rPr>
          <w:rFonts w:ascii="Calibri" w:hAnsi="Calibri"/>
        </w:rPr>
        <w:t xml:space="preserve"> have been </w:t>
      </w:r>
      <w:r w:rsidR="00DC7611" w:rsidRPr="00DE185C">
        <w:rPr>
          <w:rFonts w:ascii="Calibri" w:hAnsi="Calibri"/>
        </w:rPr>
        <w:t xml:space="preserve">awarded to </w:t>
      </w:r>
      <w:r w:rsidR="00555561" w:rsidRPr="00DE185C">
        <w:rPr>
          <w:rFonts w:ascii="Calibri" w:hAnsi="Calibri"/>
        </w:rPr>
        <w:t xml:space="preserve">public agencies, private companies, </w:t>
      </w:r>
      <w:r w:rsidR="00B7699D" w:rsidRPr="00DE185C">
        <w:rPr>
          <w:rFonts w:ascii="Calibri" w:hAnsi="Calibri"/>
        </w:rPr>
        <w:t xml:space="preserve">research institutions, </w:t>
      </w:r>
      <w:r w:rsidR="00555561" w:rsidRPr="00DE185C">
        <w:rPr>
          <w:rFonts w:ascii="Calibri" w:hAnsi="Calibri"/>
        </w:rPr>
        <w:t xml:space="preserve">and other entities in </w:t>
      </w:r>
      <w:r w:rsidRPr="00DE185C">
        <w:rPr>
          <w:rFonts w:ascii="Calibri" w:hAnsi="Calibri"/>
        </w:rPr>
        <w:t>the San Diego region to complete advanced vehicle technology projects.</w:t>
      </w:r>
      <w:r w:rsidR="00FE06C1" w:rsidRPr="00DE185C">
        <w:rPr>
          <w:rFonts w:ascii="Calibri" w:hAnsi="Calibri"/>
        </w:rPr>
        <w:t xml:space="preserve"> </w:t>
      </w:r>
      <w:r w:rsidR="007E5D8F" w:rsidRPr="00DE185C">
        <w:rPr>
          <w:rFonts w:ascii="Calibri" w:hAnsi="Calibri"/>
        </w:rPr>
        <w:t>As of December 5, 2014, the Energy Commission ha</w:t>
      </w:r>
      <w:r w:rsidR="00FB3A05">
        <w:rPr>
          <w:rFonts w:ascii="Calibri" w:hAnsi="Calibri"/>
        </w:rPr>
        <w:t>d</w:t>
      </w:r>
      <w:r w:rsidR="007E5D8F" w:rsidRPr="00DE185C">
        <w:rPr>
          <w:rFonts w:ascii="Calibri" w:hAnsi="Calibri"/>
        </w:rPr>
        <w:t xml:space="preserve"> provided over $530 million in awards to propel the advanced transportation market </w:t>
      </w:r>
      <w:r w:rsidR="00FB3A05">
        <w:rPr>
          <w:rFonts w:ascii="Calibri" w:hAnsi="Calibri"/>
        </w:rPr>
        <w:t>across California</w:t>
      </w:r>
      <w:r w:rsidR="007E5D8F" w:rsidRPr="00DE185C">
        <w:rPr>
          <w:rFonts w:ascii="Calibri" w:hAnsi="Calibri"/>
        </w:rPr>
        <w:t xml:space="preserve">. </w:t>
      </w:r>
      <w:r w:rsidRPr="00DE185C">
        <w:rPr>
          <w:rFonts w:ascii="Calibri" w:hAnsi="Calibri"/>
        </w:rPr>
        <w:t>In 2015, solicitations for the following project categories are anticipated</w:t>
      </w:r>
      <w:r w:rsidR="00BF685D">
        <w:rPr>
          <w:rFonts w:ascii="Calibri" w:hAnsi="Calibri"/>
        </w:rPr>
        <w:t>, in addition to currently open solicitations</w:t>
      </w:r>
      <w:r w:rsidRPr="00DE185C">
        <w:rPr>
          <w:rFonts w:ascii="Calibri" w:hAnsi="Calibri"/>
        </w:rPr>
        <w:t xml:space="preserve">: </w:t>
      </w:r>
    </w:p>
    <w:p w:rsidR="00524127" w:rsidRPr="00DE185C" w:rsidRDefault="00524127" w:rsidP="00C768E1">
      <w:pPr>
        <w:pStyle w:val="Heading5"/>
        <w:rPr>
          <w:rStyle w:val="BookTitle"/>
          <w:rFonts w:ascii="Calibri" w:hAnsi="Calibri"/>
          <w:b/>
          <w:bCs w:val="0"/>
          <w:spacing w:val="0"/>
        </w:rPr>
      </w:pPr>
      <w:r w:rsidRPr="00DE185C">
        <w:br/>
      </w:r>
      <w:bookmarkStart w:id="78" w:name="_Toc416259325"/>
      <w:r w:rsidRPr="00DE185C">
        <w:rPr>
          <w:rStyle w:val="BookTitle"/>
          <w:rFonts w:ascii="Calibri" w:hAnsi="Calibri"/>
          <w:b/>
          <w:bCs w:val="0"/>
          <w:spacing w:val="0"/>
          <w:sz w:val="24"/>
        </w:rPr>
        <w:t>Table 9</w:t>
      </w:r>
      <w:r w:rsidR="00BF7A75" w:rsidRPr="00DE185C">
        <w:rPr>
          <w:rStyle w:val="BookTitle"/>
          <w:rFonts w:ascii="Calibri" w:hAnsi="Calibri"/>
          <w:b/>
          <w:bCs w:val="0"/>
          <w:spacing w:val="0"/>
          <w:sz w:val="24"/>
        </w:rPr>
        <w:t>-2</w:t>
      </w:r>
      <w:r w:rsidRPr="00DE185C">
        <w:rPr>
          <w:rStyle w:val="BookTitle"/>
          <w:rFonts w:ascii="Calibri" w:hAnsi="Calibri"/>
          <w:b/>
          <w:bCs w:val="0"/>
          <w:spacing w:val="0"/>
          <w:sz w:val="24"/>
        </w:rPr>
        <w:t xml:space="preserve">: Anticipated 2015 ARFVTP </w:t>
      </w:r>
      <w:r w:rsidR="00342843" w:rsidRPr="00DE185C">
        <w:rPr>
          <w:rStyle w:val="BookTitle"/>
          <w:rFonts w:ascii="Calibri" w:hAnsi="Calibri"/>
          <w:b/>
          <w:bCs w:val="0"/>
          <w:spacing w:val="0"/>
          <w:sz w:val="24"/>
        </w:rPr>
        <w:t xml:space="preserve">Statewide </w:t>
      </w:r>
      <w:r w:rsidRPr="00DE185C">
        <w:rPr>
          <w:rStyle w:val="BookTitle"/>
          <w:rFonts w:ascii="Calibri" w:hAnsi="Calibri"/>
          <w:b/>
          <w:bCs w:val="0"/>
          <w:spacing w:val="0"/>
          <w:sz w:val="24"/>
        </w:rPr>
        <w:t>Funding</w:t>
      </w:r>
      <w:bookmarkEnd w:id="78"/>
    </w:p>
    <w:tbl>
      <w:tblPr>
        <w:tblW w:w="5440" w:type="dxa"/>
        <w:jc w:val="center"/>
        <w:tblInd w:w="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00"/>
        <w:gridCol w:w="2140"/>
      </w:tblGrid>
      <w:tr w:rsidR="00524127" w:rsidRPr="00DE185C" w:rsidTr="002E1FA2">
        <w:trPr>
          <w:trHeight w:val="300"/>
          <w:jc w:val="center"/>
        </w:trPr>
        <w:tc>
          <w:tcPr>
            <w:tcW w:w="3300" w:type="dxa"/>
            <w:shd w:val="clear" w:color="auto" w:fill="B6DDE8" w:themeFill="accent5" w:themeFillTint="66"/>
            <w:vAlign w:val="center"/>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Electric Charging Infrastructure</w:t>
            </w:r>
          </w:p>
        </w:tc>
        <w:tc>
          <w:tcPr>
            <w:tcW w:w="2140" w:type="dxa"/>
            <w:shd w:val="clear" w:color="auto" w:fill="DAEEF3" w:themeFill="accent5" w:themeFillTint="33"/>
            <w:vAlign w:val="center"/>
            <w:hideMark/>
          </w:tcPr>
          <w:p w:rsidR="00524127" w:rsidRPr="00DE185C" w:rsidRDefault="00524127" w:rsidP="002E1FA2">
            <w:pPr>
              <w:spacing w:after="0" w:line="240" w:lineRule="auto"/>
              <w:jc w:val="right"/>
              <w:rPr>
                <w:rFonts w:ascii="Calibri" w:eastAsia="Times New Roman" w:hAnsi="Calibri" w:cs="Times New Roman"/>
                <w:color w:val="000000"/>
              </w:rPr>
            </w:pPr>
            <w:r w:rsidRPr="00DE185C">
              <w:rPr>
                <w:rFonts w:ascii="Calibri" w:eastAsia="Times New Roman" w:hAnsi="Calibri" w:cs="Times New Roman"/>
                <w:color w:val="000000"/>
              </w:rPr>
              <w:t xml:space="preserve">$6 million </w:t>
            </w:r>
          </w:p>
        </w:tc>
      </w:tr>
      <w:tr w:rsidR="00524127" w:rsidRPr="00DE185C" w:rsidTr="002E1FA2">
        <w:trPr>
          <w:trHeight w:val="300"/>
          <w:jc w:val="center"/>
        </w:trPr>
        <w:tc>
          <w:tcPr>
            <w:tcW w:w="3300" w:type="dxa"/>
            <w:shd w:val="clear" w:color="auto" w:fill="B6DDE8" w:themeFill="accent5" w:themeFillTint="66"/>
            <w:vAlign w:val="center"/>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Natural Gas Fueling Infrastructure</w:t>
            </w:r>
          </w:p>
        </w:tc>
        <w:tc>
          <w:tcPr>
            <w:tcW w:w="2140" w:type="dxa"/>
            <w:shd w:val="clear" w:color="auto" w:fill="DAEEF3" w:themeFill="accent5" w:themeFillTint="33"/>
            <w:vAlign w:val="center"/>
            <w:hideMark/>
          </w:tcPr>
          <w:p w:rsidR="00524127" w:rsidRPr="00DE185C" w:rsidRDefault="00524127" w:rsidP="002E1FA2">
            <w:pPr>
              <w:spacing w:after="0" w:line="240" w:lineRule="auto"/>
              <w:jc w:val="right"/>
              <w:rPr>
                <w:rFonts w:ascii="Calibri" w:eastAsia="Times New Roman" w:hAnsi="Calibri" w:cs="Times New Roman"/>
                <w:color w:val="000000"/>
              </w:rPr>
            </w:pPr>
            <w:r w:rsidRPr="00DE185C">
              <w:rPr>
                <w:rFonts w:ascii="Calibri" w:eastAsia="Times New Roman" w:hAnsi="Calibri" w:cs="Times New Roman"/>
                <w:color w:val="000000"/>
              </w:rPr>
              <w:t xml:space="preserve">$1.5 million </w:t>
            </w:r>
          </w:p>
        </w:tc>
      </w:tr>
      <w:tr w:rsidR="00524127" w:rsidRPr="00DE185C" w:rsidTr="002E1FA2">
        <w:trPr>
          <w:trHeight w:val="300"/>
          <w:jc w:val="center"/>
        </w:trPr>
        <w:tc>
          <w:tcPr>
            <w:tcW w:w="3300" w:type="dxa"/>
            <w:shd w:val="clear" w:color="auto" w:fill="B6DDE8" w:themeFill="accent5" w:themeFillTint="66"/>
            <w:vAlign w:val="center"/>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Natural Gas Vehicle Incentives</w:t>
            </w:r>
          </w:p>
        </w:tc>
        <w:tc>
          <w:tcPr>
            <w:tcW w:w="2140" w:type="dxa"/>
            <w:shd w:val="clear" w:color="auto" w:fill="DAEEF3" w:themeFill="accent5" w:themeFillTint="33"/>
            <w:vAlign w:val="center"/>
            <w:hideMark/>
          </w:tcPr>
          <w:p w:rsidR="00524127" w:rsidRPr="00DE185C" w:rsidRDefault="00524127" w:rsidP="002E1FA2">
            <w:pPr>
              <w:spacing w:after="0" w:line="240" w:lineRule="auto"/>
              <w:jc w:val="right"/>
              <w:rPr>
                <w:rFonts w:ascii="Calibri" w:eastAsia="Times New Roman" w:hAnsi="Calibri" w:cs="Times New Roman"/>
                <w:color w:val="000000"/>
              </w:rPr>
            </w:pPr>
            <w:r w:rsidRPr="00DE185C">
              <w:rPr>
                <w:rFonts w:ascii="Calibri" w:eastAsia="Times New Roman" w:hAnsi="Calibri" w:cs="Times New Roman"/>
                <w:color w:val="000000"/>
              </w:rPr>
              <w:t xml:space="preserve">$10.2 million </w:t>
            </w:r>
          </w:p>
        </w:tc>
      </w:tr>
    </w:tbl>
    <w:p w:rsidR="00000ABA" w:rsidRPr="00DE185C" w:rsidRDefault="00000ABA" w:rsidP="00EE0C47">
      <w:pPr>
        <w:rPr>
          <w:rFonts w:ascii="Calibri" w:hAnsi="Calibri"/>
        </w:rPr>
      </w:pPr>
      <w:bookmarkStart w:id="79" w:name="_Toc410636710"/>
    </w:p>
    <w:p w:rsidR="00000ABA" w:rsidRPr="00DE185C" w:rsidRDefault="00000ABA" w:rsidP="00EE0C47">
      <w:pPr>
        <w:rPr>
          <w:rFonts w:ascii="Calibri" w:hAnsi="Calibri"/>
        </w:rPr>
      </w:pPr>
      <w:r w:rsidRPr="00DE185C">
        <w:rPr>
          <w:rFonts w:ascii="Calibri" w:hAnsi="Calibri"/>
        </w:rPr>
        <w:t>In addition to the A</w:t>
      </w:r>
      <w:r w:rsidR="00FB3A05">
        <w:rPr>
          <w:rFonts w:ascii="Calibri" w:hAnsi="Calibri"/>
        </w:rPr>
        <w:t>R</w:t>
      </w:r>
      <w:r w:rsidRPr="00DE185C">
        <w:rPr>
          <w:rFonts w:ascii="Calibri" w:hAnsi="Calibri"/>
        </w:rPr>
        <w:t xml:space="preserve">FVTP, AB 8 also established the </w:t>
      </w:r>
      <w:r w:rsidR="00FB3A05">
        <w:rPr>
          <w:rFonts w:ascii="Calibri" w:hAnsi="Calibri"/>
        </w:rPr>
        <w:t xml:space="preserve">ARB </w:t>
      </w:r>
      <w:r w:rsidRPr="00DE185C">
        <w:rPr>
          <w:rFonts w:ascii="Calibri" w:hAnsi="Calibri"/>
        </w:rPr>
        <w:t>Air Quality Improvement Program (AQIP). This program funds clean vehicle and equipment projects, including the CVRP, HVIP, and advanced technology demonstration projects. Annual funding for AQIP projects is generally $20</w:t>
      </w:r>
      <w:r w:rsidR="00D373BF" w:rsidRPr="00DE185C">
        <w:rPr>
          <w:rFonts w:ascii="Calibri" w:hAnsi="Calibri"/>
        </w:rPr>
        <w:t xml:space="preserve"> million to $</w:t>
      </w:r>
      <w:r w:rsidRPr="00DE185C">
        <w:rPr>
          <w:rFonts w:ascii="Calibri" w:hAnsi="Calibri"/>
        </w:rPr>
        <w:t xml:space="preserve">25 million. For the 2015-2016 fiscal year, AQIP will benefit from an additional $200 million from the Greenhouse Gas Reduction Fund </w:t>
      </w:r>
      <w:r w:rsidR="004A7DE1" w:rsidRPr="00DE185C">
        <w:rPr>
          <w:rFonts w:ascii="Calibri" w:hAnsi="Calibri"/>
        </w:rPr>
        <w:t>(GGRF)</w:t>
      </w:r>
      <w:r w:rsidR="00FB3A05">
        <w:rPr>
          <w:rFonts w:ascii="Calibri" w:hAnsi="Calibri"/>
        </w:rPr>
        <w:t xml:space="preserve"> derived from the state Cap-and-Trade Program</w:t>
      </w:r>
      <w:r w:rsidR="004A7DE1" w:rsidRPr="00DE185C">
        <w:rPr>
          <w:rFonts w:ascii="Calibri" w:hAnsi="Calibri"/>
        </w:rPr>
        <w:t>.</w:t>
      </w:r>
      <w:r w:rsidR="009426DA">
        <w:rPr>
          <w:rFonts w:ascii="Calibri" w:hAnsi="Calibri"/>
        </w:rPr>
        <w:t xml:space="preserve"> </w:t>
      </w:r>
    </w:p>
    <w:p w:rsidR="00524127" w:rsidRPr="00DE185C" w:rsidRDefault="00586012" w:rsidP="00524127">
      <w:pPr>
        <w:pStyle w:val="Heading2"/>
        <w:rPr>
          <w:rFonts w:ascii="Calibri" w:hAnsi="Calibri"/>
        </w:rPr>
      </w:pPr>
      <w:bookmarkStart w:id="80" w:name="_Toc416259260"/>
      <w:r w:rsidRPr="00DE185C">
        <w:rPr>
          <w:rFonts w:ascii="Calibri" w:hAnsi="Calibri"/>
        </w:rPr>
        <w:t xml:space="preserve">U.S. </w:t>
      </w:r>
      <w:r w:rsidR="00524127" w:rsidRPr="00DE185C">
        <w:rPr>
          <w:rFonts w:ascii="Calibri" w:hAnsi="Calibri"/>
        </w:rPr>
        <w:t>D</w:t>
      </w:r>
      <w:r w:rsidR="0007644E" w:rsidRPr="00DE185C">
        <w:rPr>
          <w:rFonts w:ascii="Calibri" w:hAnsi="Calibri"/>
        </w:rPr>
        <w:t xml:space="preserve">epartment of </w:t>
      </w:r>
      <w:r w:rsidR="00524127" w:rsidRPr="00DE185C">
        <w:rPr>
          <w:rFonts w:ascii="Calibri" w:hAnsi="Calibri"/>
        </w:rPr>
        <w:t>E</w:t>
      </w:r>
      <w:r w:rsidR="0007644E" w:rsidRPr="00DE185C">
        <w:rPr>
          <w:rFonts w:ascii="Calibri" w:hAnsi="Calibri"/>
        </w:rPr>
        <w:t>nergy</w:t>
      </w:r>
      <w:r w:rsidR="00524127" w:rsidRPr="00DE185C">
        <w:rPr>
          <w:rFonts w:ascii="Calibri" w:hAnsi="Calibri"/>
        </w:rPr>
        <w:t xml:space="preserve"> Funding</w:t>
      </w:r>
      <w:bookmarkEnd w:id="79"/>
      <w:bookmarkEnd w:id="80"/>
    </w:p>
    <w:p w:rsidR="00524127" w:rsidRDefault="00FB3A05" w:rsidP="00524127">
      <w:pPr>
        <w:rPr>
          <w:rFonts w:ascii="Calibri" w:hAnsi="Calibri"/>
        </w:rPr>
      </w:pPr>
      <w:r>
        <w:rPr>
          <w:rFonts w:ascii="Calibri" w:hAnsi="Calibri"/>
        </w:rPr>
        <w:t>A</w:t>
      </w:r>
      <w:r w:rsidR="00972848" w:rsidRPr="00DE185C">
        <w:rPr>
          <w:rFonts w:ascii="Calibri" w:hAnsi="Calibri"/>
        </w:rPr>
        <w:t xml:space="preserve"> number </w:t>
      </w:r>
      <w:r w:rsidR="00524127" w:rsidRPr="00DE185C">
        <w:rPr>
          <w:rFonts w:ascii="Calibri" w:hAnsi="Calibri"/>
        </w:rPr>
        <w:t xml:space="preserve">of </w:t>
      </w:r>
      <w:r>
        <w:rPr>
          <w:rFonts w:ascii="Calibri" w:hAnsi="Calibri"/>
        </w:rPr>
        <w:t xml:space="preserve">federal </w:t>
      </w:r>
      <w:r w:rsidR="00A15524">
        <w:rPr>
          <w:rFonts w:ascii="Calibri" w:hAnsi="Calibri"/>
        </w:rPr>
        <w:t xml:space="preserve">alternative fuel </w:t>
      </w:r>
      <w:r w:rsidR="002402DD">
        <w:rPr>
          <w:rFonts w:ascii="Calibri" w:hAnsi="Calibri"/>
        </w:rPr>
        <w:t xml:space="preserve">efforts </w:t>
      </w:r>
      <w:r w:rsidR="00972848" w:rsidRPr="00DE185C">
        <w:rPr>
          <w:rFonts w:ascii="Calibri" w:hAnsi="Calibri"/>
        </w:rPr>
        <w:t xml:space="preserve"> </w:t>
      </w:r>
      <w:r>
        <w:rPr>
          <w:rFonts w:ascii="Calibri" w:hAnsi="Calibri"/>
        </w:rPr>
        <w:t xml:space="preserve">have benefitted </w:t>
      </w:r>
      <w:r w:rsidR="00524127" w:rsidRPr="00DE185C">
        <w:rPr>
          <w:rFonts w:ascii="Calibri" w:hAnsi="Calibri"/>
        </w:rPr>
        <w:t>the San Diego region includ</w:t>
      </w:r>
      <w:r>
        <w:rPr>
          <w:rFonts w:ascii="Calibri" w:hAnsi="Calibri"/>
        </w:rPr>
        <w:t>ing</w:t>
      </w:r>
      <w:r w:rsidR="00524127" w:rsidRPr="00DE185C">
        <w:rPr>
          <w:rFonts w:ascii="Calibri" w:hAnsi="Calibri"/>
        </w:rPr>
        <w:t xml:space="preserve"> </w:t>
      </w:r>
      <w:r w:rsidR="002402DD">
        <w:rPr>
          <w:rFonts w:ascii="Calibri" w:hAnsi="Calibri"/>
        </w:rPr>
        <w:t xml:space="preserve">the Clean Cities program, </w:t>
      </w:r>
      <w:r w:rsidR="00524127" w:rsidRPr="00DE185C">
        <w:rPr>
          <w:rFonts w:ascii="Calibri" w:hAnsi="Calibri"/>
        </w:rPr>
        <w:t>the EV Project</w:t>
      </w:r>
      <w:r w:rsidR="0012035E">
        <w:rPr>
          <w:rFonts w:ascii="Calibri" w:hAnsi="Calibri"/>
        </w:rPr>
        <w:t>,</w:t>
      </w:r>
      <w:r w:rsidR="00524127" w:rsidRPr="00DE185C">
        <w:rPr>
          <w:rFonts w:ascii="Calibri" w:hAnsi="Calibri"/>
        </w:rPr>
        <w:t xml:space="preserve"> and PEV Community Readiness.</w:t>
      </w:r>
      <w:r w:rsidR="009426DA">
        <w:rPr>
          <w:rFonts w:ascii="Calibri" w:hAnsi="Calibri"/>
        </w:rPr>
        <w:t xml:space="preserve"> </w:t>
      </w:r>
    </w:p>
    <w:p w:rsidR="00A16925" w:rsidRPr="00DE185C" w:rsidRDefault="00A16925" w:rsidP="00524127">
      <w:pPr>
        <w:rPr>
          <w:rFonts w:ascii="Calibri" w:hAnsi="Calibri"/>
        </w:rPr>
      </w:pPr>
      <w:r>
        <w:rPr>
          <w:rFonts w:ascii="Calibri" w:hAnsi="Calibri"/>
        </w:rPr>
        <w:t xml:space="preserve">The DOE created the Clean Cities program as a result of </w:t>
      </w:r>
      <w:r w:rsidR="005C5899">
        <w:rPr>
          <w:rFonts w:ascii="Calibri" w:hAnsi="Calibri"/>
        </w:rPr>
        <w:t>the</w:t>
      </w:r>
      <w:r>
        <w:rPr>
          <w:rFonts w:ascii="Calibri" w:hAnsi="Calibri"/>
        </w:rPr>
        <w:t xml:space="preserve"> 1992 Energy Policy Act (</w:t>
      </w:r>
      <w:proofErr w:type="spellStart"/>
      <w:r>
        <w:rPr>
          <w:rFonts w:ascii="Calibri" w:hAnsi="Calibri"/>
        </w:rPr>
        <w:t>EPAct</w:t>
      </w:r>
      <w:proofErr w:type="spellEnd"/>
      <w:r>
        <w:rPr>
          <w:rFonts w:ascii="Calibri" w:hAnsi="Calibri"/>
        </w:rPr>
        <w:t xml:space="preserve">), requiring certain vehicle fleets to acquire alternative fuel vehicles. </w:t>
      </w:r>
      <w:r w:rsidR="002402DD">
        <w:rPr>
          <w:rFonts w:ascii="Calibri" w:hAnsi="Calibri"/>
        </w:rPr>
        <w:t xml:space="preserve">Local </w:t>
      </w:r>
      <w:r w:rsidR="005C5899">
        <w:rPr>
          <w:rFonts w:ascii="Calibri" w:hAnsi="Calibri"/>
        </w:rPr>
        <w:t xml:space="preserve">Clean Cities coalitions were </w:t>
      </w:r>
      <w:r w:rsidR="002402DD">
        <w:rPr>
          <w:rFonts w:ascii="Calibri" w:hAnsi="Calibri"/>
        </w:rPr>
        <w:t>formed</w:t>
      </w:r>
      <w:r w:rsidR="005C5899">
        <w:rPr>
          <w:rFonts w:ascii="Calibri" w:hAnsi="Calibri"/>
        </w:rPr>
        <w:t xml:space="preserve"> to provide </w:t>
      </w:r>
      <w:proofErr w:type="spellStart"/>
      <w:r w:rsidR="005C5899">
        <w:rPr>
          <w:rFonts w:ascii="Calibri" w:hAnsi="Calibri"/>
        </w:rPr>
        <w:t>EPAct</w:t>
      </w:r>
      <w:proofErr w:type="spellEnd"/>
      <w:r w:rsidR="005C5899">
        <w:rPr>
          <w:rFonts w:ascii="Calibri" w:hAnsi="Calibri"/>
        </w:rPr>
        <w:t>-regulated fleets with resources to help them abide by the act.</w:t>
      </w:r>
      <w:r w:rsidR="009230E3">
        <w:rPr>
          <w:rFonts w:ascii="Calibri" w:hAnsi="Calibri"/>
        </w:rPr>
        <w:t xml:space="preserve"> Since then, Clean Cities has evolved</w:t>
      </w:r>
      <w:r w:rsidR="005C5899">
        <w:rPr>
          <w:rFonts w:ascii="Calibri" w:hAnsi="Calibri"/>
        </w:rPr>
        <w:t xml:space="preserve"> to help both fleets and consumers reduce their petroleum use.</w:t>
      </w:r>
      <w:r w:rsidR="009230E3">
        <w:rPr>
          <w:rFonts w:ascii="Calibri" w:hAnsi="Calibri"/>
        </w:rPr>
        <w:t xml:space="preserve"> The San Diego Regional Clean Cities Coalition has been working with the community since 1996. </w:t>
      </w:r>
      <w:r w:rsidR="005C5899">
        <w:rPr>
          <w:rFonts w:ascii="Calibri" w:hAnsi="Calibri"/>
        </w:rPr>
        <w:t xml:space="preserve"> </w:t>
      </w:r>
    </w:p>
    <w:p w:rsidR="00524127" w:rsidRPr="00DE185C" w:rsidRDefault="00524127" w:rsidP="00524127">
      <w:pPr>
        <w:rPr>
          <w:rFonts w:ascii="Calibri" w:hAnsi="Calibri"/>
        </w:rPr>
      </w:pPr>
      <w:r w:rsidRPr="00DE185C">
        <w:rPr>
          <w:rFonts w:ascii="Calibri" w:hAnsi="Calibri"/>
        </w:rPr>
        <w:t xml:space="preserve">The EV Project was a large-scale effort by </w:t>
      </w:r>
      <w:proofErr w:type="spellStart"/>
      <w:r w:rsidRPr="00DE185C">
        <w:rPr>
          <w:rFonts w:ascii="Calibri" w:hAnsi="Calibri"/>
        </w:rPr>
        <w:t>ECOtality</w:t>
      </w:r>
      <w:proofErr w:type="spellEnd"/>
      <w:r w:rsidRPr="00DE185C">
        <w:rPr>
          <w:rFonts w:ascii="Calibri" w:hAnsi="Calibri"/>
        </w:rPr>
        <w:t xml:space="preserve">, to increase the deployment of </w:t>
      </w:r>
      <w:r w:rsidR="00BC184A" w:rsidRPr="00DE185C">
        <w:rPr>
          <w:rFonts w:ascii="Calibri" w:hAnsi="Calibri"/>
        </w:rPr>
        <w:t>P</w:t>
      </w:r>
      <w:r w:rsidRPr="00DE185C">
        <w:rPr>
          <w:rFonts w:ascii="Calibri" w:hAnsi="Calibri"/>
        </w:rPr>
        <w:t>EV charging stations across</w:t>
      </w:r>
      <w:r w:rsidR="009C4ADE">
        <w:rPr>
          <w:rFonts w:ascii="Calibri" w:hAnsi="Calibri"/>
        </w:rPr>
        <w:t xml:space="preserve"> the nation. The initial DOE grant matched $100 million in private capital to establish EV charging infrastructure in five major </w:t>
      </w:r>
      <w:r w:rsidRPr="00DE185C">
        <w:rPr>
          <w:rFonts w:ascii="Calibri" w:hAnsi="Calibri"/>
        </w:rPr>
        <w:t xml:space="preserve">metropolitan </w:t>
      </w:r>
      <w:r w:rsidR="009C4ADE">
        <w:rPr>
          <w:rFonts w:ascii="Calibri" w:hAnsi="Calibri"/>
        </w:rPr>
        <w:t>areas</w:t>
      </w:r>
      <w:r w:rsidRPr="00DE185C">
        <w:rPr>
          <w:rFonts w:ascii="Calibri" w:hAnsi="Calibri"/>
        </w:rPr>
        <w:t xml:space="preserve"> including San Diego. </w:t>
      </w:r>
      <w:r w:rsidR="009C4ADE">
        <w:rPr>
          <w:rFonts w:ascii="Calibri" w:hAnsi="Calibri"/>
        </w:rPr>
        <w:t xml:space="preserve">The San Diego regional EV Project formed a regional advisory group, developed an infrastructure roll-out plan, and underwent a regional mapping project to identify the most optimal sites for siting EV chargers. Locally, </w:t>
      </w:r>
      <w:r w:rsidRPr="00DE185C">
        <w:rPr>
          <w:rFonts w:ascii="Calibri" w:hAnsi="Calibri"/>
        </w:rPr>
        <w:t xml:space="preserve">its work contributed to the installation of over 1,400 </w:t>
      </w:r>
      <w:r w:rsidR="009C4ADE">
        <w:rPr>
          <w:rFonts w:ascii="Calibri" w:hAnsi="Calibri"/>
        </w:rPr>
        <w:t>residential and public</w:t>
      </w:r>
      <w:r w:rsidRPr="00DE185C">
        <w:rPr>
          <w:rFonts w:ascii="Calibri" w:hAnsi="Calibri"/>
        </w:rPr>
        <w:t xml:space="preserve"> Level 2 chargers in the region.</w:t>
      </w:r>
      <w:r w:rsidRPr="00DE185C">
        <w:rPr>
          <w:rStyle w:val="FootnoteReference"/>
          <w:rFonts w:ascii="Calibri" w:hAnsi="Calibri"/>
        </w:rPr>
        <w:footnoteReference w:id="30"/>
      </w:r>
      <w:r w:rsidRPr="00DE185C">
        <w:rPr>
          <w:rFonts w:ascii="Calibri" w:hAnsi="Calibri"/>
        </w:rPr>
        <w:t xml:space="preserve"> </w:t>
      </w:r>
    </w:p>
    <w:p w:rsidR="00524127" w:rsidRPr="00DE185C" w:rsidRDefault="00524127" w:rsidP="00524127">
      <w:pPr>
        <w:rPr>
          <w:rFonts w:ascii="Calibri" w:hAnsi="Calibri"/>
        </w:rPr>
      </w:pPr>
      <w:r w:rsidRPr="00DE185C">
        <w:rPr>
          <w:rFonts w:ascii="Calibri" w:hAnsi="Calibri"/>
        </w:rPr>
        <w:t>Following the</w:t>
      </w:r>
      <w:r w:rsidR="009C4ADE">
        <w:rPr>
          <w:rFonts w:ascii="Calibri" w:hAnsi="Calibri"/>
        </w:rPr>
        <w:t xml:space="preserve"> initial</w:t>
      </w:r>
      <w:r w:rsidRPr="00DE185C">
        <w:rPr>
          <w:rFonts w:ascii="Calibri" w:hAnsi="Calibri"/>
        </w:rPr>
        <w:t xml:space="preserve"> deployment of charg</w:t>
      </w:r>
      <w:r w:rsidR="003B43C5" w:rsidRPr="00DE185C">
        <w:rPr>
          <w:rFonts w:ascii="Calibri" w:hAnsi="Calibri"/>
        </w:rPr>
        <w:t>ing stations</w:t>
      </w:r>
      <w:r w:rsidRPr="00DE185C">
        <w:rPr>
          <w:rFonts w:ascii="Calibri" w:hAnsi="Calibri"/>
        </w:rPr>
        <w:t xml:space="preserve">, </w:t>
      </w:r>
      <w:r w:rsidR="003B43C5" w:rsidRPr="00DE185C">
        <w:rPr>
          <w:rFonts w:ascii="Calibri" w:hAnsi="Calibri"/>
        </w:rPr>
        <w:t xml:space="preserve">the </w:t>
      </w:r>
      <w:r w:rsidRPr="00DE185C">
        <w:rPr>
          <w:rFonts w:ascii="Calibri" w:hAnsi="Calibri"/>
        </w:rPr>
        <w:t>DOE gave 16 awards for PEV community readiness projects, totaling $8.5 million</w:t>
      </w:r>
      <w:r w:rsidR="009C4ADE">
        <w:rPr>
          <w:rFonts w:ascii="Calibri" w:hAnsi="Calibri"/>
        </w:rPr>
        <w:t xml:space="preserve"> in 2011</w:t>
      </w:r>
      <w:r w:rsidRPr="00DE185C">
        <w:rPr>
          <w:rFonts w:ascii="Calibri" w:hAnsi="Calibri"/>
        </w:rPr>
        <w:t xml:space="preserve">. California received one million dollars to produce an assessment of community readiness for PEVs. San Diego received a portion of this award to conduct surveys among local jurisdictions and assess </w:t>
      </w:r>
      <w:r w:rsidR="003160AB">
        <w:rPr>
          <w:rFonts w:ascii="Calibri" w:hAnsi="Calibri"/>
        </w:rPr>
        <w:t xml:space="preserve">barriers to the deployment of </w:t>
      </w:r>
      <w:r w:rsidR="00963E21">
        <w:rPr>
          <w:rFonts w:ascii="Calibri" w:hAnsi="Calibri"/>
        </w:rPr>
        <w:t>P</w:t>
      </w:r>
      <w:r w:rsidR="003160AB">
        <w:rPr>
          <w:rFonts w:ascii="Calibri" w:hAnsi="Calibri"/>
        </w:rPr>
        <w:t>EV infrastructure</w:t>
      </w:r>
      <w:r w:rsidRPr="00DE185C">
        <w:rPr>
          <w:rFonts w:ascii="Calibri" w:hAnsi="Calibri"/>
        </w:rPr>
        <w:t xml:space="preserve">. </w:t>
      </w:r>
    </w:p>
    <w:p w:rsidR="004A7DE1" w:rsidRPr="00DE185C" w:rsidRDefault="00090661" w:rsidP="00524127">
      <w:pPr>
        <w:rPr>
          <w:rFonts w:ascii="Calibri" w:hAnsi="Calibri"/>
        </w:rPr>
      </w:pPr>
      <w:r>
        <w:rPr>
          <w:rFonts w:ascii="Calibri" w:hAnsi="Calibri"/>
        </w:rPr>
        <w:t xml:space="preserve">In </w:t>
      </w:r>
      <w:r w:rsidR="00972F58">
        <w:rPr>
          <w:rFonts w:ascii="Calibri" w:hAnsi="Calibri"/>
        </w:rPr>
        <w:t>2013</w:t>
      </w:r>
      <w:r>
        <w:rPr>
          <w:rFonts w:ascii="Calibri" w:hAnsi="Calibri"/>
        </w:rPr>
        <w:t xml:space="preserve"> </w:t>
      </w:r>
      <w:r w:rsidR="003160AB">
        <w:rPr>
          <w:rFonts w:ascii="Calibri" w:hAnsi="Calibri"/>
        </w:rPr>
        <w:t>CSE</w:t>
      </w:r>
      <w:r w:rsidR="00753142" w:rsidRPr="00DE185C">
        <w:rPr>
          <w:rFonts w:ascii="Calibri" w:hAnsi="Calibri"/>
        </w:rPr>
        <w:t xml:space="preserve"> </w:t>
      </w:r>
      <w:r>
        <w:rPr>
          <w:rFonts w:ascii="Calibri" w:hAnsi="Calibri"/>
        </w:rPr>
        <w:t xml:space="preserve">was awarded another DOE grant to </w:t>
      </w:r>
      <w:r w:rsidR="00753142" w:rsidRPr="00DE185C">
        <w:rPr>
          <w:rFonts w:ascii="Calibri" w:hAnsi="Calibri"/>
        </w:rPr>
        <w:t xml:space="preserve">work with the California Clean Cities Coalitions to conduct an assessment of current and future alternative fuel vehicle training needs for first responders and fleet staff for the Bay Area Air Quality Management District. The report </w:t>
      </w:r>
      <w:r w:rsidR="003160AB">
        <w:rPr>
          <w:rFonts w:ascii="Calibri" w:hAnsi="Calibri"/>
        </w:rPr>
        <w:t>identified</w:t>
      </w:r>
      <w:r w:rsidR="003160AB" w:rsidRPr="00DE185C">
        <w:rPr>
          <w:rFonts w:ascii="Calibri" w:hAnsi="Calibri"/>
        </w:rPr>
        <w:t xml:space="preserve"> </w:t>
      </w:r>
      <w:r w:rsidR="00753142" w:rsidRPr="00DE185C">
        <w:rPr>
          <w:rFonts w:ascii="Calibri" w:hAnsi="Calibri"/>
        </w:rPr>
        <w:t>the availability of safety and technical trainings in alternative fuel vehicles for emergency personnel and transportation fleet staff in California and provide</w:t>
      </w:r>
      <w:r w:rsidR="003160AB">
        <w:rPr>
          <w:rFonts w:ascii="Calibri" w:hAnsi="Calibri"/>
        </w:rPr>
        <w:t>d</w:t>
      </w:r>
      <w:r w:rsidR="00753142" w:rsidRPr="00DE185C">
        <w:rPr>
          <w:rFonts w:ascii="Calibri" w:hAnsi="Calibri"/>
        </w:rPr>
        <w:t xml:space="preserve"> recommendations for improvement. </w:t>
      </w:r>
    </w:p>
    <w:p w:rsidR="00524127" w:rsidRPr="00DE185C" w:rsidRDefault="00524127" w:rsidP="00524127">
      <w:pPr>
        <w:pStyle w:val="Heading2"/>
        <w:rPr>
          <w:rFonts w:ascii="Calibri" w:hAnsi="Calibri"/>
        </w:rPr>
      </w:pPr>
      <w:bookmarkStart w:id="81" w:name="_Toc410636711"/>
      <w:bookmarkStart w:id="82" w:name="_Toc416259261"/>
      <w:r w:rsidRPr="00DE185C">
        <w:rPr>
          <w:rFonts w:ascii="Calibri" w:hAnsi="Calibri"/>
        </w:rPr>
        <w:t>Private Funding</w:t>
      </w:r>
      <w:bookmarkEnd w:id="81"/>
      <w:bookmarkEnd w:id="82"/>
    </w:p>
    <w:p w:rsidR="00524127" w:rsidRPr="00DE185C" w:rsidRDefault="00524127" w:rsidP="00524127">
      <w:pPr>
        <w:rPr>
          <w:rFonts w:ascii="Calibri" w:hAnsi="Calibri"/>
        </w:rPr>
      </w:pPr>
      <w:r w:rsidRPr="00DE185C">
        <w:rPr>
          <w:rFonts w:ascii="Calibri" w:hAnsi="Calibri"/>
        </w:rPr>
        <w:t xml:space="preserve">In </w:t>
      </w:r>
      <w:r w:rsidR="008563E7">
        <w:rPr>
          <w:rFonts w:ascii="Calibri" w:hAnsi="Calibri"/>
        </w:rPr>
        <w:t>addition to</w:t>
      </w:r>
      <w:r w:rsidRPr="00DE185C">
        <w:rPr>
          <w:rFonts w:ascii="Calibri" w:hAnsi="Calibri"/>
        </w:rPr>
        <w:t xml:space="preserve"> government funding, private funding </w:t>
      </w:r>
      <w:r w:rsidR="00090661">
        <w:rPr>
          <w:rFonts w:ascii="Calibri" w:hAnsi="Calibri"/>
        </w:rPr>
        <w:t>in</w:t>
      </w:r>
      <w:r w:rsidR="00090661" w:rsidRPr="00DE185C">
        <w:rPr>
          <w:rFonts w:ascii="Calibri" w:hAnsi="Calibri"/>
        </w:rPr>
        <w:t xml:space="preserve"> </w:t>
      </w:r>
      <w:r w:rsidRPr="00DE185C">
        <w:rPr>
          <w:rFonts w:ascii="Calibri" w:hAnsi="Calibri"/>
        </w:rPr>
        <w:t xml:space="preserve">the investment of alternative fuel infrastructure and vehicles </w:t>
      </w:r>
      <w:r w:rsidR="008563E7">
        <w:rPr>
          <w:rFonts w:ascii="Calibri" w:hAnsi="Calibri"/>
        </w:rPr>
        <w:t xml:space="preserve">plays an essential role. </w:t>
      </w:r>
      <w:r w:rsidR="00090661">
        <w:rPr>
          <w:rFonts w:ascii="Calibri" w:hAnsi="Calibri"/>
        </w:rPr>
        <w:t xml:space="preserve">The following </w:t>
      </w:r>
      <w:r w:rsidR="007D6D5D">
        <w:rPr>
          <w:rFonts w:ascii="Calibri" w:hAnsi="Calibri"/>
        </w:rPr>
        <w:t xml:space="preserve">examples </w:t>
      </w:r>
      <w:r w:rsidR="00090661">
        <w:rPr>
          <w:rFonts w:ascii="Calibri" w:hAnsi="Calibri"/>
        </w:rPr>
        <w:t>emphasize this value</w:t>
      </w:r>
      <w:r w:rsidR="007D6D5D">
        <w:rPr>
          <w:rFonts w:ascii="Calibri" w:hAnsi="Calibri"/>
        </w:rPr>
        <w:t>.</w:t>
      </w:r>
    </w:p>
    <w:p w:rsidR="00524127" w:rsidRPr="00DE185C" w:rsidRDefault="004F27D2"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07904" behindDoc="0" locked="0" layoutInCell="1" allowOverlap="1" wp14:anchorId="6671148B" wp14:editId="1B2E17A8">
                <wp:simplePos x="0" y="0"/>
                <wp:positionH relativeFrom="column">
                  <wp:posOffset>3743325</wp:posOffset>
                </wp:positionH>
                <wp:positionV relativeFrom="paragraph">
                  <wp:posOffset>420370</wp:posOffset>
                </wp:positionV>
                <wp:extent cx="2339340" cy="1847850"/>
                <wp:effectExtent l="0" t="0" r="3810" b="0"/>
                <wp:wrapSquare wrapText="bothSides"/>
                <wp:docPr id="51" name="Group 51"/>
                <wp:cNvGraphicFramePr/>
                <a:graphic xmlns:a="http://schemas.openxmlformats.org/drawingml/2006/main">
                  <a:graphicData uri="http://schemas.microsoft.com/office/word/2010/wordprocessingGroup">
                    <wpg:wgp>
                      <wpg:cNvGrpSpPr/>
                      <wpg:grpSpPr>
                        <a:xfrm>
                          <a:off x="0" y="0"/>
                          <a:ext cx="2339340" cy="1847850"/>
                          <a:chOff x="0" y="0"/>
                          <a:chExt cx="3117922" cy="1743739"/>
                        </a:xfrm>
                      </wpg:grpSpPr>
                      <wps:wsp>
                        <wps:cNvPr id="53" name="Text Box 2"/>
                        <wps:cNvSpPr txBox="1">
                          <a:spLocks noChangeArrowheads="1"/>
                        </wps:cNvSpPr>
                        <wps:spPr bwMode="auto">
                          <a:xfrm>
                            <a:off x="151436" y="364828"/>
                            <a:ext cx="2966486" cy="1130622"/>
                          </a:xfrm>
                          <a:prstGeom prst="rect">
                            <a:avLst/>
                          </a:prstGeom>
                          <a:noFill/>
                          <a:ln w="9525">
                            <a:noFill/>
                            <a:miter lim="800000"/>
                            <a:headEnd/>
                            <a:tailEnd/>
                          </a:ln>
                        </wps:spPr>
                        <wps:txbx>
                          <w:txbxContent>
                            <w:p w:rsidR="006909BC" w:rsidRPr="00463C43" w:rsidRDefault="006909BC" w:rsidP="008C52C1">
                              <w:pPr>
                                <w:pStyle w:val="CVText"/>
                                <w:spacing w:line="240" w:lineRule="auto"/>
                                <w:ind w:right="360"/>
                                <w:jc w:val="center"/>
                                <w:rPr>
                                  <w:i/>
                                  <w:color w:val="005997"/>
                                </w:rPr>
                              </w:pPr>
                              <w:r>
                                <w:rPr>
                                  <w:rFonts w:asciiTheme="minorHAnsi" w:hAnsiTheme="minorHAnsi"/>
                                  <w:b/>
                                  <w:i/>
                                  <w:color w:val="005997"/>
                                  <w:sz w:val="28"/>
                                  <w:szCs w:val="28"/>
                                  <w:lang w:val="en-US"/>
                                </w:rPr>
                                <w:t>In 2013, UPS deployed over 100 all-electric commercial vehicles in California</w:t>
                              </w:r>
                            </w:p>
                          </w:txbxContent>
                        </wps:txbx>
                        <wps:bodyPr rot="0" vert="horz" wrap="square" lIns="91440" tIns="45720" rIns="91440" bIns="45720" anchor="t" anchorCtr="0">
                          <a:noAutofit/>
                        </wps:bodyPr>
                      </wps:wsp>
                      <pic:pic xmlns:pic="http://schemas.openxmlformats.org/drawingml/2006/picture">
                        <pic:nvPicPr>
                          <pic:cNvPr id="54" name="Picture 8" descr="3mm_Frame_CV_19April2010-01_Top.png"/>
                          <pic:cNvPicPr>
                            <a:picLocks noChangeAspect="1"/>
                          </pic:cNvPicPr>
                        </pic:nvPicPr>
                        <pic:blipFill rotWithShape="1">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5" name="Picture 8" descr="3mm_Frame_CV_19April2010-01_Top.png"/>
                          <pic:cNvPicPr>
                            <a:picLocks noChangeAspect="1"/>
                          </pic:cNvPicPr>
                        </pic:nvPicPr>
                        <pic:blipFill rotWithShape="1">
                          <a:blip r:embed="rId24"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1297172"/>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51" o:spid="_x0000_s1059" style="position:absolute;margin-left:294.75pt;margin-top:33.1pt;width:184.2pt;height:145.5pt;z-index:251707904;mso-width-relative:margin;mso-height-relative:margin" coordsize="31179,17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7za3xgQAANkOAAAOAAAAZHJzL2Uyb0RvYy54bWzsV9tu4zYQfS/QfxD0&#10;rlh3WUKchWM7iwV2u0E3bR8DmqItYSWRJenIadF/7wwpOY4doIvsok8JEJkXcThz5swhdflu3zbO&#10;A5Oq5t3MDS5812Ed5WXdbWfub3c33tR1lCZdSRresZn7yJT77urnny57UbCQV7wpmXTASKeKXszc&#10;SmtRTCaKVqwl6oIL1sHkhsuWaOjK7aSUpAfrbTMJfT+d9FyWQnLKlILRpZ10r4z9zYZR/XmzUUw7&#10;zcwF37R5SvNc43NydUmKrSSiqungBnmFFy2pO9j0YGpJNHF2sj4z1dZUcsU3+oLydsI3m5oyEwNE&#10;E/gn0byXfCdMLNui34oDTADtCU6vNkt/ebiVTl3O3CRwnY60kCOzrQN9AKcX2wLeeS/FF3Erh4Gt&#10;7WG8+41s8RcicfYG1scDrGyvHQqDYRTlUQzoU5gLpnE2TQbgaQXZOVtHq9WwMgqCLA/DYWUWR1mU&#10;o1eTceMJ+ndwpxdAIvWEk/o+nL5URDADv0IMRpyiEac7DPCa753QImXeQpgcvYdhiNVQQomPnH5V&#10;TscXFem2bC4l7ytGSnDPYAxBHJYi4qpQaGTdf+IlpIPsNDeGTrAOkiCOUtcBUKM0noZT9IIUB9Tz&#10;FEZh3qAeRH4KQB5jRwohlX7PeOtgY+ZKqBazEXn4qLR9dXwFLXf8pm4as0nTOf3MzZMwMQuOZtpa&#10;Q0E3dTtzpz7+Wa8w3lVXmsWa1I1tQx6bDtI5xmyj1/v13lAyMItxcs3LR4BEclvAIDjQqLj8y3V6&#10;KN6Zq/7cEclcp/nQAax5ECPftOnESRZCRx7PrI9nSEfB1MzVrmObC20UwsY8B/g3tYHjyZPBZyDb&#10;1aWoaQH/Q3VC64x1/61isErv0H+rhO032WiJ/LoTHgiJILpe102tH40oQk7Qqe7htqa30naOCByP&#10;BIZp3NUBjS6ZohB01Lb3NxJU4H7x+32Qz4WsGxQmzw/u77i4EN0W84nW0aA1D0Sq6QnHlQAyjfx+&#10;/voEu898Wze1QGphfv+odWUKbywfnBxgAQdPdO8FZK2mLjndtazT9pCQrAGEeKeqWiigQsHaNSuB&#10;8R9KUD0KB5SGQoNgO1sA5Y5rOK6QAOYkYotGOg8EzhBCKVi1rFcVKZkdjpMD0xXRULd2OIjGcWD6&#10;wRKaxbo6GO0rKJqhNo+2hkqGOsS3sabNafJ3OJ37fh5ee4vEX3ixn628eR5nXuavstiPp8EiWPyD&#10;NRnExU4xyApplqIeAITRMwhfPDqGQ9YeSuZwswGZgoRYwCGjwqOLMIR5MoBJ+ivkHg/cMAaqAQu8&#10;JMsyLEFoBinI+XrmxlmaWmlQWjJNK9QbZMZIBsuyb1JCMH1+6qDgBVlm9S+O0yTNBohHHR217TXy&#10;h5EeVG+QMQPLWcYSEGfIWOrN58vMi+Pl1Lu+htZiscrjKEjjZHXIGDKK95/XikJZlt+fNMT0hWQh&#10;zAjsgDh0LdjQGPaE1hlRXqi1k7sYrPr/VCx5U7EnFcMr0puKnd6rf4yKeWmOd4lnMpZlP0jF7JUm&#10;8Ie7EsrKs6t0EOZZAJuZixMeA3ihjvwkSFBb8Wr3Jm1W4ozwmhPkVNrMRwJ8PxkxHL718APtuA/t&#10;4y/Sq3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I/514gAA&#10;AAoBAAAPAAAAZHJzL2Rvd25yZXYueG1sTI/BasMwEETvhf6D2EJvjWwHObFrOYTQ9hQKTQqlt421&#10;sU0syViK7fx91VN7XOYx87bYzLpjIw2utUZCvIiAkamsak0t4fP4+rQG5jwahZ01JOFGDjbl/V2B&#10;ubKT+aDx4GsWSozLUULjfZ9z7qqGNLqF7cmE7GwHjT6cQ83VgFMo1x1PoijlGlsTFhrsaddQdTlc&#10;tYS3CaftMn4Z95fz7vZ9FO9f+5ikfHyYt8/APM3+D4Zf/aAOZXA62atRjnUSxDoTAZWQpgmwAGRi&#10;lQE7SViKVQK8LPj/F8ofAAAA//8DAFBLAwQKAAAAAAAAACEAFqRS8PgBAAD4AQAAFAAAAGRycy9t&#10;ZWRpYS9pbWFnZTEucG5niVBORw0KGgoAAAANSUhEUgAAAuIAAABGCAIAAAAGk2a5AAAAAXNSR0IA&#10;rs4c6QAAAARnQU1BAACxjwv8YQUAAAAJcEhZcwAAIdUAACHVAQSctJ0AAAGNSURBVHhe7dYhboRg&#10;FEbR7n8h3RMOgcSRmkmAjvgnmaSKCU2uOMc89T59v74BADK2bTtfZAoAECJTAIAomQIARMkUACBK&#10;pgAAUTIFAIiSKQBAlEwBAKJkCgAQJVMAgCiZAgBEyRQAIEqmAABRMgUAiJIpAECUTAEAomQKABAl&#10;UwCAKJkCAETJFAAgSqYAAFEyBQCIuidTpmn6AQD4Y1mWkQvX3ZMp8zyPDQCAN+u6jly4TqYAAP9I&#10;pgAAUTIFAIiSKQBAlEwBAKJkCgAQJVMAgCiZAgBEyRQAIEqmAABRMgUAiJIpAECUTAEAomQKABAl&#10;UwCAKJkCAETJFAAgSqYAAFEyBQCIkikAQJRMAQCiZAoAECVTAIAomQIARMkUACBKpgAAUTIFAIiS&#10;KQBAlEwBAKJkCgAQJVMAgCiZAgBEyRQAIEqmAABRMgUAiJIpAECUTAEAomQKABAlUwCAqNsy5fGp&#10;fd/HBgDAm+M4Ri5c9/wdK89MGRcAIEamAABRMgUAiJIpAECUTAEAks7zF9gFkFmIiVc3AAAAAElF&#10;TkSuQmCCUEsDBAoAAAAAAAAAIQAXbTiU8gEAAPIBAAAUAAAAZHJzL21lZGlhL2ltYWdlMi5wbmeJ&#10;UE5HDQoaCgAAAA1JSERSAAAC3gAAAEYIAgAAAHRcBA8AAAABc1JHQgCuzhzpAAAABGdBTUEAALGP&#10;C/xhBQAAAAlwSFlzAAAh1QAAIdUBBJy0nQAAAYdJREFUeF7t1jFqw1AABUHf/yC+l0o1AhVBkEI/&#10;EH7ArYLAC55pXvfqfTwBAN5q3/fxR5oAAG8mTQCAEGkCAIRIEwAgRJoAACHSBAAIkSYAQIg0AQBC&#10;pAkAECJNAIAQaQIAhEgTACBEmgAAIdIEAAiRJgBAiDQBAEKkCQAQIk0AgBBpAgCESBMAIESaAAAh&#10;0gQACLknTZZl+QIA+LVt20yE6+5Jk3Vd5wcA8PGO45iJcJ00AQBuJk0AgBBpAgCESBMAIESaAAAh&#10;0gQACJEmAECINAEAQqQJABAiTQCAEGkCAIRIEwAgRJoAACHSBAAIkSYAQIg0AQBCpAkAECJNAIAQ&#10;aQIAhEgTACBEmgAAIdIEAAiRJgBAiDQBAEKkCQAQIk0AgBBpAgCESBMAIESaAAAh0gQACJEmAECI&#10;NAEAQqQJABAiTQCAEGkCAIRIEwAgRJoAACHSBAAIkSYAQMhtafL9X+d5zg8AgDFmIlz3GhWPuQAA&#10;AdIEAAiRJgBAiDQBAEKkCQCQMcYPCoSz/I/w1lcAAAAASUVORK5CYIJQSwECLQAUAAYACAAAACEA&#10;sYJntgoBAAATAgAAEwAAAAAAAAAAAAAAAAAAAAAAW0NvbnRlbnRfVHlwZXNdLnhtbFBLAQItABQA&#10;BgAIAAAAIQA4/SH/1gAAAJQBAAALAAAAAAAAAAAAAAAAADsBAABfcmVscy8ucmVsc1BLAQItABQA&#10;BgAIAAAAIQAK7za3xgQAANkOAAAOAAAAAAAAAAAAAAAAADoCAABkcnMvZTJvRG9jLnhtbFBLAQIt&#10;ABQABgAIAAAAIQAubPAAxQAAAKUBAAAZAAAAAAAAAAAAAAAAACwHAABkcnMvX3JlbHMvZTJvRG9j&#10;LnhtbC5yZWxzUEsBAi0AFAAGAAgAAAAhAL4j/nXiAAAACgEAAA8AAAAAAAAAAAAAAAAAKAgAAGRy&#10;cy9kb3ducmV2LnhtbFBLAQItAAoAAAAAAAAAIQAWpFLw+AEAAPgBAAAUAAAAAAAAAAAAAAAAADcJ&#10;AABkcnMvbWVkaWEvaW1hZ2UxLnBuZ1BLAQItAAoAAAAAAAAAIQAXbTiU8gEAAPIBAAAUAAAAAAAA&#10;AAAAAAAAAGELAABkcnMvbWVkaWEvaW1hZ2UyLnBuZ1BLBQYAAAAABwAHAL4BAACFDQAAAAA=&#10;">
                <v:shape id="_x0000_s1060" type="#_x0000_t202" style="position:absolute;left:1514;top:3648;width:29665;height:1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6909BC" w:rsidRPr="00463C43" w:rsidRDefault="006909BC" w:rsidP="008C52C1">
                        <w:pPr>
                          <w:pStyle w:val="CVText"/>
                          <w:spacing w:line="240" w:lineRule="auto"/>
                          <w:ind w:right="360"/>
                          <w:jc w:val="center"/>
                          <w:rPr>
                            <w:i/>
                            <w:color w:val="005997"/>
                          </w:rPr>
                        </w:pPr>
                        <w:r>
                          <w:rPr>
                            <w:rFonts w:asciiTheme="minorHAnsi" w:hAnsiTheme="minorHAnsi"/>
                            <w:b/>
                            <w:i/>
                            <w:color w:val="005997"/>
                            <w:sz w:val="28"/>
                            <w:szCs w:val="28"/>
                            <w:lang w:val="en-US"/>
                          </w:rPr>
                          <w:t>In 2013, UPS deployed over 100 all-electric commercial vehicles in California</w:t>
                        </w:r>
                      </w:p>
                    </w:txbxContent>
                  </v:textbox>
                </v:shape>
                <v:shape id="Picture 8" o:spid="_x0000_s1061"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MYHDGAAAA2wAAAA8AAABkcnMvZG93bnJldi54bWxEj09rwkAUxO+FfoflCb3VTcSWEl2DSAMW&#10;D/5pQY/P7GsSmn2bZFdN/fSuUOhxmJnfMNO0N7U4U+cqywriYQSCOLe64kLB12f2/AbCeWSNtWVS&#10;8EsO0tnjwxQTbS+8pfPOFyJA2CWooPS+SaR0eUkG3dA2xMH7tp1BH2RXSN3hJcBNLUdR9CoNVhwW&#10;SmxoUVL+szsZBavicKJ4/bFoabR/32TbVXt1R6WeBv18AsJT7//Df+2lVvAyhvuX8APk7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oxgcMYAAADbAAAADwAAAAAAAAAAAAAA&#10;AACfAgAAZHJzL2Rvd25yZXYueG1sUEsFBgAAAAAEAAQA9wAAAJIDAAAAAA==&#10;">
                  <v:imagedata r:id="rId25" o:title="3mm_Frame_CV_19April2010-01_Top" croptop="-37860f" cropbottom="3123f" cropleft="160f" cropright="-106f" recolortarget="#1d4f5c [1448]"/>
                  <v:path arrowok="t"/>
                </v:shape>
                <v:shape id="Picture 8" o:spid="_x0000_s1062" type="#_x0000_t75" alt="3mm_Frame_CV_19April2010-01_Top.png" style="position:absolute;top:12971;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cg9fBAAAA2wAAAA8AAABkcnMvZG93bnJldi54bWxEj0+LwjAUxO8LfofwhL2tqbsoUo0iLoIn&#10;wT94fjTPtrR5qUm01U9vBMHjMDO/YWaLztTiRs6XlhUMBwkI4szqknMFx8P6ZwLCB2SNtWVScCcP&#10;i3nva4apti3v6LYPuYgQ9ikqKEJoUil9VpBBP7ANcfTO1hkMUbpcaodthJta/ibJWBosOS4U2NCq&#10;oKzaX40CN6ku9022Pf3/aWofpqnGJBOlvvvdcgoiUBc+4Xd7oxWMRvD6En+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Ncg9fBAAAA2wAAAA8AAAAAAAAAAAAAAAAAnwIA&#10;AGRycy9kb3ducmV2LnhtbFBLBQYAAAAABAAEAPcAAACNAwAAAAA=&#10;">
                  <v:imagedata r:id="rId26" o:title="3mm_Frame_CV_19April2010-01_Top" croptop="-37860f" cropbottom="3123f" cropleft="-452f" cropright="506f" recolortarget="#1d4f5c [1448]"/>
                  <v:path arrowok="t"/>
                </v:shape>
                <w10:wrap type="square"/>
              </v:group>
            </w:pict>
          </mc:Fallback>
        </mc:AlternateContent>
      </w:r>
      <w:r w:rsidR="00524127" w:rsidRPr="00DE185C">
        <w:rPr>
          <w:rFonts w:ascii="Calibri" w:hAnsi="Calibri"/>
        </w:rPr>
        <w:t>Nissan, the vehicle manufacturer of the all-electric L</w:t>
      </w:r>
      <w:r w:rsidR="0071475A" w:rsidRPr="00DE185C">
        <w:rPr>
          <w:rFonts w:ascii="Calibri" w:hAnsi="Calibri"/>
        </w:rPr>
        <w:t>EAF</w:t>
      </w:r>
      <w:r w:rsidR="00524127" w:rsidRPr="00DE185C">
        <w:rPr>
          <w:rFonts w:ascii="Calibri" w:hAnsi="Calibri"/>
        </w:rPr>
        <w:t xml:space="preserve">, has been at the forefront of </w:t>
      </w:r>
      <w:r w:rsidR="0071475A" w:rsidRPr="00DE185C">
        <w:rPr>
          <w:rFonts w:ascii="Calibri" w:hAnsi="Calibri"/>
        </w:rPr>
        <w:t xml:space="preserve">workplace </w:t>
      </w:r>
      <w:r w:rsidR="00524127" w:rsidRPr="00DE185C">
        <w:rPr>
          <w:rFonts w:ascii="Calibri" w:hAnsi="Calibri"/>
        </w:rPr>
        <w:t xml:space="preserve">charging station </w:t>
      </w:r>
      <w:r w:rsidR="0071475A" w:rsidRPr="00DE185C">
        <w:rPr>
          <w:rFonts w:ascii="Calibri" w:hAnsi="Calibri"/>
        </w:rPr>
        <w:t>investment</w:t>
      </w:r>
      <w:r w:rsidR="00524127" w:rsidRPr="00DE185C">
        <w:rPr>
          <w:rFonts w:ascii="Calibri" w:hAnsi="Calibri"/>
        </w:rPr>
        <w:t xml:space="preserve">. Two of the company’s programs, Workplace Initiative and EV Advantage, provided employers with financial support for installing a charging station </w:t>
      </w:r>
      <w:r w:rsidR="003B0221" w:rsidRPr="00DE185C">
        <w:rPr>
          <w:rFonts w:ascii="Calibri" w:hAnsi="Calibri"/>
        </w:rPr>
        <w:t xml:space="preserve">at their place of business </w:t>
      </w:r>
      <w:r w:rsidR="00524127" w:rsidRPr="00DE185C">
        <w:rPr>
          <w:rFonts w:ascii="Calibri" w:hAnsi="Calibri"/>
        </w:rPr>
        <w:t>if the</w:t>
      </w:r>
      <w:r w:rsidR="003B0221" w:rsidRPr="00DE185C">
        <w:rPr>
          <w:rFonts w:ascii="Calibri" w:hAnsi="Calibri"/>
        </w:rPr>
        <w:t>y</w:t>
      </w:r>
      <w:r w:rsidR="00524127" w:rsidRPr="00DE185C">
        <w:rPr>
          <w:rFonts w:ascii="Calibri" w:hAnsi="Calibri"/>
        </w:rPr>
        <w:t xml:space="preserve"> allowed Nissan to host </w:t>
      </w:r>
      <w:r w:rsidR="003B0221" w:rsidRPr="00DE185C">
        <w:rPr>
          <w:rFonts w:ascii="Calibri" w:hAnsi="Calibri"/>
        </w:rPr>
        <w:t>“</w:t>
      </w:r>
      <w:r w:rsidR="00524127" w:rsidRPr="00DE185C">
        <w:rPr>
          <w:rFonts w:ascii="Calibri" w:hAnsi="Calibri"/>
        </w:rPr>
        <w:t>ride and drives</w:t>
      </w:r>
      <w:r w:rsidR="003B0221" w:rsidRPr="00DE185C">
        <w:rPr>
          <w:rFonts w:ascii="Calibri" w:hAnsi="Calibri"/>
        </w:rPr>
        <w:t>”</w:t>
      </w:r>
      <w:r w:rsidR="00524127" w:rsidRPr="00DE185C">
        <w:rPr>
          <w:rFonts w:ascii="Calibri" w:hAnsi="Calibri"/>
        </w:rPr>
        <w:t xml:space="preserve"> </w:t>
      </w:r>
      <w:r w:rsidR="00C93A89">
        <w:rPr>
          <w:rFonts w:ascii="Calibri" w:hAnsi="Calibri"/>
        </w:rPr>
        <w:t>at</w:t>
      </w:r>
      <w:r w:rsidR="00C93A89" w:rsidRPr="00DE185C">
        <w:rPr>
          <w:rFonts w:ascii="Calibri" w:hAnsi="Calibri"/>
        </w:rPr>
        <w:t xml:space="preserve"> </w:t>
      </w:r>
      <w:r w:rsidR="00C93A89">
        <w:rPr>
          <w:rFonts w:ascii="Calibri" w:hAnsi="Calibri"/>
        </w:rPr>
        <w:t>their</w:t>
      </w:r>
      <w:r w:rsidR="001A6059" w:rsidRPr="00DE185C">
        <w:rPr>
          <w:rFonts w:ascii="Calibri" w:hAnsi="Calibri"/>
        </w:rPr>
        <w:t xml:space="preserve"> </w:t>
      </w:r>
      <w:r w:rsidR="00C93A89">
        <w:rPr>
          <w:rFonts w:ascii="Calibri" w:hAnsi="Calibri"/>
        </w:rPr>
        <w:t>facility</w:t>
      </w:r>
      <w:r w:rsidR="00524127" w:rsidRPr="00DE185C">
        <w:rPr>
          <w:rFonts w:ascii="Calibri" w:hAnsi="Calibri"/>
        </w:rPr>
        <w:t xml:space="preserve">. Further, for EV Advantage, Nissan would contribute $10,000 towards the installation of any DC fast charger at a workplace before March 2014. </w:t>
      </w:r>
    </w:p>
    <w:p w:rsidR="00524127" w:rsidRPr="00DE185C" w:rsidRDefault="00861D29" w:rsidP="00524127">
      <w:pPr>
        <w:rPr>
          <w:rFonts w:ascii="Calibri" w:hAnsi="Calibri"/>
        </w:rPr>
      </w:pPr>
      <w:r>
        <w:rPr>
          <w:rFonts w:ascii="Calibri" w:hAnsi="Calibri"/>
        </w:rPr>
        <w:t>Investments in i</w:t>
      </w:r>
      <w:r w:rsidR="00066196" w:rsidRPr="00DE185C">
        <w:rPr>
          <w:rFonts w:ascii="Calibri" w:hAnsi="Calibri"/>
        </w:rPr>
        <w:t xml:space="preserve">nfrastructure </w:t>
      </w:r>
      <w:r w:rsidR="00524127" w:rsidRPr="00DE185C">
        <w:rPr>
          <w:rFonts w:ascii="Calibri" w:hAnsi="Calibri"/>
        </w:rPr>
        <w:t>al</w:t>
      </w:r>
      <w:r w:rsidR="003F0BDE" w:rsidRPr="00DE185C">
        <w:rPr>
          <w:rFonts w:ascii="Calibri" w:hAnsi="Calibri"/>
        </w:rPr>
        <w:t>so came from the energy company</w:t>
      </w:r>
      <w:r w:rsidR="00524127" w:rsidRPr="00DE185C">
        <w:rPr>
          <w:rFonts w:ascii="Calibri" w:hAnsi="Calibri"/>
        </w:rPr>
        <w:t xml:space="preserve"> NRG. NRG </w:t>
      </w:r>
      <w:r w:rsidR="00644C3C">
        <w:rPr>
          <w:rFonts w:ascii="Calibri" w:hAnsi="Calibri"/>
        </w:rPr>
        <w:t>is tasked to subsidize the installation of</w:t>
      </w:r>
      <w:r w:rsidR="00524127" w:rsidRPr="00DE185C">
        <w:rPr>
          <w:rFonts w:ascii="Calibri" w:hAnsi="Calibri"/>
        </w:rPr>
        <w:t xml:space="preserve"> a minimum of 200 public fast chargers – 110 in the Los Angeles region, 55 in the San Francisco Bay Area, 15 in the San Joaquin Valley, and 20 in San Diego County.</w:t>
      </w:r>
      <w:r w:rsidR="00524127" w:rsidRPr="00DE185C">
        <w:rPr>
          <w:rStyle w:val="FootnoteReference"/>
          <w:rFonts w:ascii="Calibri" w:hAnsi="Calibri"/>
        </w:rPr>
        <w:footnoteReference w:id="31"/>
      </w:r>
      <w:r w:rsidR="00524127" w:rsidRPr="00DE185C">
        <w:rPr>
          <w:rFonts w:ascii="Calibri" w:hAnsi="Calibri"/>
        </w:rPr>
        <w:t xml:space="preserve"> Since 2012, 13 public fast chargers have been installed in the region. </w:t>
      </w:r>
    </w:p>
    <w:p w:rsidR="00524127" w:rsidRPr="00DE185C" w:rsidRDefault="00524127" w:rsidP="00524127">
      <w:pPr>
        <w:spacing w:before="240"/>
        <w:contextualSpacing/>
        <w:rPr>
          <w:rFonts w:ascii="Calibri" w:hAnsi="Calibri"/>
        </w:rPr>
      </w:pPr>
      <w:r w:rsidRPr="00DE185C">
        <w:rPr>
          <w:rFonts w:ascii="Calibri" w:hAnsi="Calibri"/>
        </w:rPr>
        <w:t xml:space="preserve">In 2011, </w:t>
      </w:r>
      <w:r w:rsidR="007D6D5D">
        <w:rPr>
          <w:rFonts w:ascii="Calibri" w:hAnsi="Calibri"/>
        </w:rPr>
        <w:t xml:space="preserve">CSE partnered with </w:t>
      </w:r>
      <w:r w:rsidRPr="00DE185C">
        <w:rPr>
          <w:rFonts w:ascii="Calibri" w:hAnsi="Calibri"/>
        </w:rPr>
        <w:t>SDRCCC</w:t>
      </w:r>
      <w:r w:rsidR="007D6D5D">
        <w:rPr>
          <w:rFonts w:ascii="Calibri" w:hAnsi="Calibri"/>
        </w:rPr>
        <w:t>, SANDAG</w:t>
      </w:r>
      <w:r w:rsidR="00B34427">
        <w:rPr>
          <w:rFonts w:ascii="Calibri" w:hAnsi="Calibri"/>
        </w:rPr>
        <w:t>,</w:t>
      </w:r>
      <w:r w:rsidR="007D6D5D">
        <w:rPr>
          <w:rFonts w:ascii="Calibri" w:hAnsi="Calibri"/>
        </w:rPr>
        <w:t xml:space="preserve"> and the </w:t>
      </w:r>
      <w:r w:rsidR="0005256F">
        <w:rPr>
          <w:rFonts w:ascii="Calibri" w:hAnsi="Calibri"/>
        </w:rPr>
        <w:t xml:space="preserve">San Diego International </w:t>
      </w:r>
      <w:r w:rsidR="007D6D5D">
        <w:rPr>
          <w:rFonts w:ascii="Calibri" w:hAnsi="Calibri"/>
        </w:rPr>
        <w:t xml:space="preserve">Airport </w:t>
      </w:r>
      <w:r w:rsidR="00B34427">
        <w:rPr>
          <w:rFonts w:ascii="Calibri" w:hAnsi="Calibri"/>
        </w:rPr>
        <w:t xml:space="preserve">on a </w:t>
      </w:r>
      <w:r w:rsidRPr="00DE185C">
        <w:rPr>
          <w:rFonts w:ascii="Calibri" w:hAnsi="Calibri"/>
        </w:rPr>
        <w:t>$1</w:t>
      </w:r>
      <w:r w:rsidR="00BC184A" w:rsidRPr="00DE185C">
        <w:rPr>
          <w:rFonts w:ascii="Calibri" w:hAnsi="Calibri"/>
        </w:rPr>
        <w:t xml:space="preserve"> </w:t>
      </w:r>
      <w:r w:rsidRPr="00DE185C">
        <w:rPr>
          <w:rFonts w:ascii="Calibri" w:hAnsi="Calibri"/>
        </w:rPr>
        <w:t xml:space="preserve">million award </w:t>
      </w:r>
      <w:r w:rsidR="00527EE8" w:rsidRPr="00DE185C">
        <w:rPr>
          <w:rFonts w:ascii="Calibri" w:hAnsi="Calibri"/>
        </w:rPr>
        <w:t>from</w:t>
      </w:r>
      <w:r w:rsidR="000E230E" w:rsidRPr="00DE185C">
        <w:rPr>
          <w:rFonts w:ascii="Calibri" w:hAnsi="Calibri"/>
        </w:rPr>
        <w:t xml:space="preserve"> the r</w:t>
      </w:r>
      <w:r w:rsidRPr="00DE185C">
        <w:rPr>
          <w:rFonts w:ascii="Calibri" w:hAnsi="Calibri"/>
        </w:rPr>
        <w:t xml:space="preserve">eformulated gasoline settlement fund </w:t>
      </w:r>
      <w:r w:rsidR="007D6D5D">
        <w:rPr>
          <w:rFonts w:ascii="Calibri" w:hAnsi="Calibri"/>
        </w:rPr>
        <w:t>to</w:t>
      </w:r>
      <w:r w:rsidRPr="00DE185C">
        <w:rPr>
          <w:rFonts w:ascii="Calibri" w:hAnsi="Calibri"/>
        </w:rPr>
        <w:t xml:space="preserve"> launch the San Diego Airport Vehicle Rebate Project (AVRP). This program supported </w:t>
      </w:r>
      <w:r w:rsidR="00632F98" w:rsidRPr="00DE185C">
        <w:rPr>
          <w:rFonts w:ascii="Calibri" w:hAnsi="Calibri"/>
        </w:rPr>
        <w:t xml:space="preserve">the </w:t>
      </w:r>
      <w:r w:rsidRPr="00DE185C">
        <w:rPr>
          <w:rFonts w:ascii="Calibri" w:hAnsi="Calibri"/>
        </w:rPr>
        <w:t xml:space="preserve">San Diego International Airport’s goal to </w:t>
      </w:r>
      <w:r w:rsidR="00C32536" w:rsidRPr="00DE185C">
        <w:rPr>
          <w:rFonts w:ascii="Calibri" w:hAnsi="Calibri"/>
        </w:rPr>
        <w:t>transition</w:t>
      </w:r>
      <w:r w:rsidRPr="00DE185C">
        <w:rPr>
          <w:rFonts w:ascii="Calibri" w:hAnsi="Calibri"/>
        </w:rPr>
        <w:t xml:space="preserve"> it</w:t>
      </w:r>
      <w:r w:rsidR="00C32536" w:rsidRPr="00DE185C">
        <w:rPr>
          <w:rFonts w:ascii="Calibri" w:hAnsi="Calibri"/>
        </w:rPr>
        <w:t>s</w:t>
      </w:r>
      <w:r w:rsidRPr="00DE185C">
        <w:rPr>
          <w:rFonts w:ascii="Calibri" w:hAnsi="Calibri"/>
        </w:rPr>
        <w:t xml:space="preserve"> ground transportation providers </w:t>
      </w:r>
      <w:r w:rsidR="00C32536" w:rsidRPr="00DE185C">
        <w:rPr>
          <w:rFonts w:ascii="Calibri" w:hAnsi="Calibri"/>
        </w:rPr>
        <w:t xml:space="preserve">to cleaner vehicles. The project </w:t>
      </w:r>
      <w:r w:rsidRPr="00DE185C">
        <w:rPr>
          <w:rFonts w:ascii="Calibri" w:hAnsi="Calibri"/>
        </w:rPr>
        <w:t xml:space="preserve">combined extensive education and outreach </w:t>
      </w:r>
      <w:r w:rsidR="00632F98" w:rsidRPr="00DE185C">
        <w:rPr>
          <w:rFonts w:ascii="Calibri" w:hAnsi="Calibri"/>
        </w:rPr>
        <w:t xml:space="preserve">to ground transportation providers and drivers, </w:t>
      </w:r>
      <w:r w:rsidR="00C32536" w:rsidRPr="00DE185C">
        <w:rPr>
          <w:rFonts w:ascii="Calibri" w:hAnsi="Calibri"/>
        </w:rPr>
        <w:t xml:space="preserve">along </w:t>
      </w:r>
      <w:r w:rsidRPr="00DE185C">
        <w:rPr>
          <w:rFonts w:ascii="Calibri" w:hAnsi="Calibri"/>
        </w:rPr>
        <w:t>with</w:t>
      </w:r>
      <w:r w:rsidR="00C32536" w:rsidRPr="00DE185C">
        <w:rPr>
          <w:rFonts w:ascii="Calibri" w:hAnsi="Calibri"/>
        </w:rPr>
        <w:t xml:space="preserve"> </w:t>
      </w:r>
      <w:r w:rsidRPr="00DE185C">
        <w:rPr>
          <w:rFonts w:ascii="Calibri" w:hAnsi="Calibri"/>
        </w:rPr>
        <w:t>vehicle funding. Th</w:t>
      </w:r>
      <w:r w:rsidR="007D6D5D">
        <w:rPr>
          <w:rFonts w:ascii="Calibri" w:hAnsi="Calibri"/>
        </w:rPr>
        <w:t xml:space="preserve">e AVRP </w:t>
      </w:r>
      <w:r w:rsidRPr="00DE185C">
        <w:rPr>
          <w:rFonts w:ascii="Calibri" w:hAnsi="Calibri"/>
        </w:rPr>
        <w:t xml:space="preserve">led to the conversion of 181 conventional </w:t>
      </w:r>
      <w:r w:rsidR="00632F98" w:rsidRPr="00DE185C">
        <w:rPr>
          <w:rFonts w:ascii="Calibri" w:hAnsi="Calibri"/>
        </w:rPr>
        <w:t xml:space="preserve">gasoline </w:t>
      </w:r>
      <w:r w:rsidRPr="00DE185C">
        <w:rPr>
          <w:rFonts w:ascii="Calibri" w:hAnsi="Calibri"/>
        </w:rPr>
        <w:t>vehicles to hybrid and alternative fuel</w:t>
      </w:r>
      <w:r w:rsidR="00632F98" w:rsidRPr="00DE185C">
        <w:rPr>
          <w:rFonts w:ascii="Calibri" w:hAnsi="Calibri"/>
        </w:rPr>
        <w:t xml:space="preserve"> vehicles</w:t>
      </w:r>
      <w:r w:rsidRPr="00DE185C">
        <w:rPr>
          <w:rFonts w:ascii="Calibri" w:hAnsi="Calibri"/>
        </w:rPr>
        <w:t xml:space="preserve">. </w:t>
      </w:r>
      <w:r w:rsidR="00632F98" w:rsidRPr="00DE185C">
        <w:rPr>
          <w:rFonts w:ascii="Calibri" w:hAnsi="Calibri"/>
        </w:rPr>
        <w:t xml:space="preserve">Even with </w:t>
      </w:r>
      <w:r w:rsidRPr="00DE185C">
        <w:rPr>
          <w:rFonts w:ascii="Calibri" w:hAnsi="Calibri"/>
        </w:rPr>
        <w:t xml:space="preserve">the exhaustion of </w:t>
      </w:r>
      <w:r w:rsidR="00632F98" w:rsidRPr="00DE185C">
        <w:rPr>
          <w:rFonts w:ascii="Calibri" w:hAnsi="Calibri"/>
        </w:rPr>
        <w:t xml:space="preserve">program </w:t>
      </w:r>
      <w:r w:rsidRPr="00DE185C">
        <w:rPr>
          <w:rFonts w:ascii="Calibri" w:hAnsi="Calibri"/>
        </w:rPr>
        <w:t xml:space="preserve">funds, </w:t>
      </w:r>
      <w:r w:rsidR="00632F98" w:rsidRPr="00DE185C">
        <w:rPr>
          <w:rFonts w:ascii="Calibri" w:hAnsi="Calibri"/>
        </w:rPr>
        <w:t xml:space="preserve">vehicle </w:t>
      </w:r>
      <w:r w:rsidR="005112B6" w:rsidRPr="00DE185C">
        <w:rPr>
          <w:rFonts w:ascii="Calibri" w:hAnsi="Calibri"/>
        </w:rPr>
        <w:t>conversions have</w:t>
      </w:r>
      <w:r w:rsidRPr="00DE185C">
        <w:rPr>
          <w:rFonts w:ascii="Calibri" w:hAnsi="Calibri"/>
        </w:rPr>
        <w:t xml:space="preserve"> continued</w:t>
      </w:r>
      <w:r w:rsidR="007D6D5D">
        <w:rPr>
          <w:rFonts w:ascii="Calibri" w:hAnsi="Calibri"/>
        </w:rPr>
        <w:t>.</w:t>
      </w:r>
      <w:r w:rsidR="00527EE8" w:rsidRPr="00DE185C">
        <w:rPr>
          <w:rFonts w:ascii="Calibri" w:hAnsi="Calibri"/>
        </w:rPr>
        <w:t xml:space="preserve"> In early 2015, the </w:t>
      </w:r>
      <w:r w:rsidR="00632F98" w:rsidRPr="00DE185C">
        <w:rPr>
          <w:rFonts w:ascii="Calibri" w:hAnsi="Calibri"/>
        </w:rPr>
        <w:t>SD</w:t>
      </w:r>
      <w:r w:rsidRPr="00DE185C">
        <w:rPr>
          <w:rFonts w:ascii="Calibri" w:hAnsi="Calibri"/>
        </w:rPr>
        <w:t>APCD approved $360</w:t>
      </w:r>
      <w:r w:rsidR="0071093D" w:rsidRPr="00DE185C">
        <w:rPr>
          <w:rFonts w:ascii="Calibri" w:hAnsi="Calibri"/>
        </w:rPr>
        <w:t xml:space="preserve">,000 </w:t>
      </w:r>
      <w:r w:rsidRPr="00DE185C">
        <w:rPr>
          <w:rFonts w:ascii="Calibri" w:hAnsi="Calibri"/>
        </w:rPr>
        <w:t xml:space="preserve">to </w:t>
      </w:r>
      <w:r w:rsidR="00632F98" w:rsidRPr="00DE185C">
        <w:rPr>
          <w:rFonts w:ascii="Calibri" w:hAnsi="Calibri"/>
        </w:rPr>
        <w:t xml:space="preserve">fund the </w:t>
      </w:r>
      <w:r w:rsidRPr="00DE185C">
        <w:rPr>
          <w:rFonts w:ascii="Calibri" w:hAnsi="Calibri"/>
        </w:rPr>
        <w:t>conver</w:t>
      </w:r>
      <w:r w:rsidR="00632F98" w:rsidRPr="00DE185C">
        <w:rPr>
          <w:rFonts w:ascii="Calibri" w:hAnsi="Calibri"/>
        </w:rPr>
        <w:t>sion</w:t>
      </w:r>
      <w:r w:rsidRPr="00DE185C">
        <w:rPr>
          <w:rFonts w:ascii="Calibri" w:hAnsi="Calibri"/>
        </w:rPr>
        <w:t xml:space="preserve"> </w:t>
      </w:r>
      <w:r w:rsidR="00632F98" w:rsidRPr="00DE185C">
        <w:rPr>
          <w:rFonts w:ascii="Calibri" w:hAnsi="Calibri"/>
        </w:rPr>
        <w:t xml:space="preserve">of </w:t>
      </w:r>
      <w:r w:rsidRPr="00DE185C">
        <w:rPr>
          <w:rFonts w:ascii="Calibri" w:hAnsi="Calibri"/>
        </w:rPr>
        <w:t xml:space="preserve">the remaining </w:t>
      </w:r>
      <w:r w:rsidR="00632F98" w:rsidRPr="00DE185C">
        <w:rPr>
          <w:rFonts w:ascii="Calibri" w:hAnsi="Calibri"/>
        </w:rPr>
        <w:t xml:space="preserve">conventional </w:t>
      </w:r>
      <w:r w:rsidR="00972F58">
        <w:rPr>
          <w:rFonts w:ascii="Calibri" w:hAnsi="Calibri"/>
        </w:rPr>
        <w:t xml:space="preserve">airport </w:t>
      </w:r>
      <w:r w:rsidRPr="00DE185C">
        <w:rPr>
          <w:rFonts w:ascii="Calibri" w:hAnsi="Calibri"/>
        </w:rPr>
        <w:t>taxi cabs to cleaner running vehicles.</w:t>
      </w:r>
    </w:p>
    <w:p w:rsidR="00524127" w:rsidRPr="00DE185C" w:rsidRDefault="00BF7A75" w:rsidP="00524127">
      <w:pPr>
        <w:pStyle w:val="Heading1"/>
        <w:rPr>
          <w:rFonts w:ascii="Calibri" w:hAnsi="Calibri"/>
        </w:rPr>
      </w:pPr>
      <w:bookmarkStart w:id="83" w:name="_Toc410636712"/>
      <w:bookmarkStart w:id="84" w:name="_Toc416259262"/>
      <w:r w:rsidRPr="00DE185C">
        <w:rPr>
          <w:rFonts w:ascii="Calibri" w:hAnsi="Calibri"/>
        </w:rPr>
        <w:t xml:space="preserve">10. </w:t>
      </w:r>
      <w:r w:rsidR="00524127" w:rsidRPr="00DE185C">
        <w:rPr>
          <w:rFonts w:ascii="Calibri" w:hAnsi="Calibri"/>
        </w:rPr>
        <w:t>Training</w:t>
      </w:r>
      <w:bookmarkEnd w:id="83"/>
      <w:bookmarkEnd w:id="84"/>
      <w:r w:rsidR="00524127" w:rsidRPr="00DE185C">
        <w:rPr>
          <w:rFonts w:ascii="Calibri" w:hAnsi="Calibri"/>
        </w:rPr>
        <w:t xml:space="preserve"> </w:t>
      </w:r>
    </w:p>
    <w:p w:rsidR="00524127" w:rsidRPr="00DE185C" w:rsidRDefault="00524127" w:rsidP="00524127">
      <w:pPr>
        <w:rPr>
          <w:rFonts w:ascii="Calibri" w:hAnsi="Calibri"/>
        </w:rPr>
      </w:pPr>
      <w:r w:rsidRPr="00DE185C">
        <w:rPr>
          <w:rFonts w:ascii="Calibri" w:hAnsi="Calibri"/>
        </w:rPr>
        <w:t xml:space="preserve">As the San Diego region continues to support the growth of alternative fuel use, training </w:t>
      </w:r>
      <w:r w:rsidR="003B4294" w:rsidRPr="00DE185C">
        <w:rPr>
          <w:rFonts w:ascii="Calibri" w:hAnsi="Calibri"/>
        </w:rPr>
        <w:t xml:space="preserve">for </w:t>
      </w:r>
      <w:r w:rsidRPr="00DE185C">
        <w:rPr>
          <w:rFonts w:ascii="Calibri" w:hAnsi="Calibri"/>
        </w:rPr>
        <w:t xml:space="preserve">first responders, technicians, electricians, and local municipal staff becomes increasingly important. </w:t>
      </w:r>
    </w:p>
    <w:p w:rsidR="00E2469F" w:rsidRDefault="008C5E54" w:rsidP="00524127">
      <w:pPr>
        <w:rPr>
          <w:rFonts w:ascii="Calibri" w:hAnsi="Calibri"/>
        </w:rPr>
      </w:pPr>
      <w:r w:rsidRPr="00DE185C">
        <w:rPr>
          <w:rFonts w:ascii="Calibri" w:hAnsi="Calibri"/>
          <w:noProof/>
          <w:lang w:eastAsia="zh-CN"/>
        </w:rPr>
        <mc:AlternateContent>
          <mc:Choice Requires="wpg">
            <w:drawing>
              <wp:anchor distT="0" distB="0" distL="114300" distR="114300" simplePos="0" relativeHeight="251705856" behindDoc="0" locked="0" layoutInCell="1" allowOverlap="1" wp14:anchorId="39E17555" wp14:editId="195EFF98">
                <wp:simplePos x="0" y="0"/>
                <wp:positionH relativeFrom="column">
                  <wp:posOffset>3491230</wp:posOffset>
                </wp:positionH>
                <wp:positionV relativeFrom="paragraph">
                  <wp:posOffset>441960</wp:posOffset>
                </wp:positionV>
                <wp:extent cx="2501265" cy="1685925"/>
                <wp:effectExtent l="0" t="0" r="0" b="0"/>
                <wp:wrapSquare wrapText="bothSides"/>
                <wp:docPr id="47" name="Group 47"/>
                <wp:cNvGraphicFramePr/>
                <a:graphic xmlns:a="http://schemas.openxmlformats.org/drawingml/2006/main">
                  <a:graphicData uri="http://schemas.microsoft.com/office/word/2010/wordprocessingGroup">
                    <wpg:wgp>
                      <wpg:cNvGrpSpPr/>
                      <wpg:grpSpPr>
                        <a:xfrm>
                          <a:off x="0" y="0"/>
                          <a:ext cx="2501265" cy="1685925"/>
                          <a:chOff x="0" y="0"/>
                          <a:chExt cx="3127977" cy="1743739"/>
                        </a:xfrm>
                      </wpg:grpSpPr>
                      <wps:wsp>
                        <wps:cNvPr id="48" name="Text Box 2"/>
                        <wps:cNvSpPr txBox="1">
                          <a:spLocks noChangeArrowheads="1"/>
                        </wps:cNvSpPr>
                        <wps:spPr bwMode="auto">
                          <a:xfrm>
                            <a:off x="161493" y="364828"/>
                            <a:ext cx="2966484" cy="1130622"/>
                          </a:xfrm>
                          <a:prstGeom prst="rect">
                            <a:avLst/>
                          </a:prstGeom>
                          <a:noFill/>
                          <a:ln w="9525">
                            <a:noFill/>
                            <a:miter lim="800000"/>
                            <a:headEnd/>
                            <a:tailEnd/>
                          </a:ln>
                        </wps:spPr>
                        <wps:txbx>
                          <w:txbxContent>
                            <w:p w:rsidR="006909BC" w:rsidRPr="00463C43" w:rsidRDefault="006909BC" w:rsidP="008C52C1">
                              <w:pPr>
                                <w:pStyle w:val="CVText"/>
                                <w:spacing w:line="240" w:lineRule="auto"/>
                                <w:ind w:right="360"/>
                                <w:jc w:val="center"/>
                                <w:rPr>
                                  <w:i/>
                                  <w:color w:val="005997"/>
                                </w:rPr>
                              </w:pPr>
                              <w:r>
                                <w:rPr>
                                  <w:rFonts w:asciiTheme="minorHAnsi" w:hAnsiTheme="minorHAnsi"/>
                                  <w:b/>
                                  <w:i/>
                                  <w:color w:val="005997"/>
                                  <w:sz w:val="28"/>
                                  <w:szCs w:val="28"/>
                                  <w:lang w:val="en-US"/>
                                </w:rPr>
                                <w:t>San Diego MTS will be purchasing over 500 CNG vehicles for their fleet through 2017</w:t>
                              </w:r>
                            </w:p>
                          </w:txbxContent>
                        </wps:txbx>
                        <wps:bodyPr rot="0" vert="horz" wrap="square" lIns="91440" tIns="45720" rIns="91440" bIns="45720" anchor="t" anchorCtr="0">
                          <a:noAutofit/>
                        </wps:bodyPr>
                      </wps:wsp>
                      <pic:pic xmlns:pic="http://schemas.openxmlformats.org/drawingml/2006/picture">
                        <pic:nvPicPr>
                          <pic:cNvPr id="49" name="Picture 8" descr="3mm_Frame_CV_19April2010-01_Top.png"/>
                          <pic:cNvPicPr>
                            <a:picLocks noChangeAspect="1"/>
                          </pic:cNvPicPr>
                        </pic:nvPicPr>
                        <pic:blipFill rotWithShape="1">
                          <a:blip r:embed="rId42" cstate="print">
                            <a:duotone>
                              <a:schemeClr val="accent5">
                                <a:shade val="45000"/>
                                <a:satMod val="135000"/>
                              </a:schemeClr>
                              <a:prstClr val="white"/>
                            </a:duotone>
                            <a:extLst>
                              <a:ext uri="{28A0092B-C50C-407E-A947-70E740481C1C}">
                                <a14:useLocalDpi xmlns:a14="http://schemas.microsoft.com/office/drawing/2010/main" val="0"/>
                              </a:ext>
                            </a:extLst>
                          </a:blip>
                          <a:srcRect l="244" t="-57770" r="-162" b="4766"/>
                          <a:stretch/>
                        </pic:blipFill>
                        <pic:spPr bwMode="auto">
                          <a:xfrm>
                            <a:off x="0" y="0"/>
                            <a:ext cx="3062177" cy="446567"/>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0" name="Picture 8" descr="3mm_Frame_CV_19April2010-01_Top.png"/>
                          <pic:cNvPicPr>
                            <a:picLocks noChangeAspect="1"/>
                          </pic:cNvPicPr>
                        </pic:nvPicPr>
                        <pic:blipFill rotWithShape="1">
                          <a:blip r:embed="rId43" cstate="print">
                            <a:duotone>
                              <a:schemeClr val="accent5">
                                <a:shade val="45000"/>
                                <a:satMod val="135000"/>
                              </a:schemeClr>
                              <a:prstClr val="white"/>
                            </a:duotone>
                            <a:extLst>
                              <a:ext uri="{28A0092B-C50C-407E-A947-70E740481C1C}">
                                <a14:useLocalDpi xmlns:a14="http://schemas.microsoft.com/office/drawing/2010/main" val="0"/>
                              </a:ext>
                            </a:extLst>
                          </a:blip>
                          <a:srcRect l="-690" t="-57770" r="772" b="4766"/>
                          <a:stretch/>
                        </pic:blipFill>
                        <pic:spPr bwMode="auto">
                          <a:xfrm rot="10800000">
                            <a:off x="0" y="1297172"/>
                            <a:ext cx="3051544" cy="44656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47" o:spid="_x0000_s1063" style="position:absolute;margin-left:274.9pt;margin-top:34.8pt;width:196.95pt;height:132.75pt;z-index:251705856;mso-width-relative:margin;mso-height-relative:margin" coordsize="31279,17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W/jzgQAANkOAAAOAAAAZHJzL2Uyb0RvYy54bWzsV21v2zYQ/j5g/0HQ&#10;d8eirBdLiFM4thMUaNdgzbaPAU3RllBJ5Eg6cjbsv++OlFzHDrAiLfYpBerwRTzePffcc9Llu31T&#10;e49c6Uq0M59cBL7HWyaKqt3O/N/ub0ZT39OGtgWtRctn/hPX/rurn3+67GTOQ1GKuuDKAyOtzjs5&#10;80tjZD4ea1byhuoLIXkLmxuhGmpgqrbjQtEOrDf1OAyCZNwJVUglGNcaVpdu07+y9jcbzsynzUZz&#10;49UzH3wz9lfZ3zX+jq8uab5VVJYV692gr/CioVULlx5MLamh3k5VZ6aaiimhxcZcMNGMxWZTMW5j&#10;gGhIcBLNrRI7aWPZ5t1WHmACaE9werVZ9svjnfKqYuZHqe+1tIEc2Ws9mAM4ndzm8Mytkp/lneoX&#10;tm6G8e43qsG/EIm3t7A+HWDle+MxWAzjgIRJ7HsM9kgyjbMwdsCzErJzdo6Vq/7khIRploJj9mQa&#10;TdJJhifHw8Vj9O/gTieBRPorTvr7cPpcUskt/BoxGHACRjuc7jHAa7H3QoeUfQph8sweliFWSwkt&#10;Pwj2RXutWJS03fK5UqIrOS3APWKjQb/hAjyKiOtco5F191EUkA66M8IaOsGaJCTKJr4HoE6SaBpO&#10;HaYH1LMEVqMeOzIJktD6ecCO5lJpc8tF4+Fg5iuoFnsRffygjYN5eARz3Iqbqq5hneZ163UzP4sh&#10;kSc7TWWgoOuqmfnTAP85rzDeVVvYw4ZWtRuDL3UL6RxidtGb/XpvKUksPLi5FsUTQKKEK2AQHBiU&#10;Qv3lex0U78zXf+6o4r5Xv28B1oxEEVa7nURxGsJEHe+sj3doy8DUzDe+54YLYxXCRTYH+DeVheOr&#10;J73PQLarS1mxHP731QmjM9b9t4rBKbND/50SNt9ko6Hqy06OQEgkNdW6qivzZEURcoJOtY93FUNK&#10;4eSIwNlAYNjGWz1gdME1g6AnTfNwo0AFHha/P5BsLlVVozCNAvJwL+SFbLeYz8GgMw9EqtgJx7UE&#10;Mg38fv74GKfPfFvXlURqYX7/qExpC28oH9zsYQEHT3TvBWSdpi4F2zW8Na5JKF4DQqLVZSU1UCHn&#10;zZoXwPj3BYECgQZloNAg2NYVQLETBtoVEsB2Ir6olfdIoYdQxsCqY70uacHdchQfmK6pgbp1y2Qy&#10;rAPTD5bQLNbVwWhXQtFYJaD50dVQyVCH+DTWtO0mf4fTeRBk4fVoEQeLURSkq9E8i9JRGqzSKIim&#10;ZEEW/2BNkijfaQ5ZofVSVj2AsHoG4Yuto2+yrinZ5uYCstUMsYBDVoUHF2EJ82QBU+xXyD023DAC&#10;+QEWjOI0TbEEYUiS0PfW2G6SxEmDNoobVqLeIDMGMjiWfZMSgunzroOCR4beEUVJnNiGBp4OOjpo&#10;22vkDyM96CHYRBmzsJxlLAZxhowlo/l8mY6iaDkdXV/DaLFYZdGEJFG8OmQMGSW6T2vNoCyL708a&#10;YvpCshBmBLZHHKYObBj0d8LojCgv1NrJuxic+t9ULIakuzZ896ZiBdTUm4qdvVf/GBUbJRlw7bmM&#10;pekPUjH3SkOC/l0JReTZqzQJs5TAZfbFCdsAvlBPgpjEqK34WvwmbU7irPDaDnIqbfYjAb6frBj2&#10;33r4gXY8h/HxF+nV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EBOKJnhAAAACgEAAA8AAABkcnMvZG93bnJldi54bWxMj0FPg0AUhO8m/ofNM/FmF6SgII+madRT&#10;08TWxHjbwiuQsm8JuwX6711PepzMZOabfDXrTow02NYwQrgIQBCXpmq5Rvg8vD08g7BOcaU6w4Rw&#10;JQur4vYmV1llJv6gce9q4UvYZgqhca7PpLRlQ1rZhemJvXcyg1bOy6GW1aAmX647+RgEidSqZb/Q&#10;qJ42DZXn/UUjvE9qWkfh67g9nzbX70O8+9qGhHh/N69fQDia3V8YfvE9OhSe6WguXFnRIcTL1KM7&#10;hCRNQPhAuoyeQBwRoigOQRa5/H+h+AEAAP//AwBQSwMECgAAAAAAAAAhAD9h64zxAQAA8QEAABQA&#10;AABkcnMvbWVkaWEvaW1hZ2UxLnBuZ4lQTkcNChoKAAAADUlIRFIAAAJOAAAARAgCAAAA+D8t7QAA&#10;AAFzUkdCAK7OHOkAAAAEZ0FNQQAAsY8L/GEFAAAACXBIWXMAACHVAAAh1QEEnLSdAAABhklEQVR4&#10;Xu3VwWkCAQBEUfsvJB14FmxARARJDQFPgkLULNktYGNgQz7vXeY05796A4Cc9Xp9vV6f36QOgCCp&#10;AyBO6gCIkzoA4qQOgDipAyBO6gCIkzoA4qQOgDipAyBO6gCIkzoA4qQOgDipAyBO6gCIkzoA4qQO&#10;gDipAyBO6gCIkzoA4qQOgLjXU7fdbt8BYHGn02mz2Uw1muH11B0Oh08AWNztdtvtdlONZng9dcfj&#10;cbwBwJKG2u33+6lGM0gdAP+M1AEQJ3UAxEkdAHFSB0Cc1AEQJ3UAxEkdAHFSB0Cc1AEQJ3UAxEkd&#10;AHFSB0Cc1AEQJ3UAxEkdAHFSB0Cc1AEQJ3UAxEkdAHFSB0Cc1AEQJ3UAxEkdAHFSB0Cc1AEQJ3UA&#10;xEkdAHFSB0Cc1AEQJ3UAxEkdAHFSB0Cc1AEQJ3UAxEkdAHFSB0Dcr1L38ROXy2W8AcCSHo/H0KCp&#10;RjOcz+f7/T5+V8N5vvEDAH9iqtE802dI3bQAECV1AMRJHQBxUgdA2vP5BX7EuJ4nOq/dAAAAAElF&#10;TkSuQmCCUEsDBAoAAAAAAAAAIQCvy3/M7QEAAO0BAAAUAAAAZHJzL21lZGlhL2ltYWdlMi5wbmeJ&#10;UE5HDQoaCgAAAA1JSERSAAACSwAAAEQIAgAAAB4W5qkAAAABc1JHQgCuzhzpAAAABGdBTUEAALGP&#10;C/xhBQAAAAlwSFlzAAAh1QAAIdUBBJy0nQAAAYJJREFUeF7t1cFpAmEURtH0X0gqsAPBEkSDJQTc&#10;KUiMGTJ/AaOBgVzO2bzVx1vet3cAqNhsNpfL5fFL4QDoUDgAmhQOgCaFA6BJ4QBoUjgAmhQOgCaF&#10;A6BJ4QBoUjgAmhQOgCaFA6BJ4QBoUjgAmhQOgCaFA6BJ4QBoUjgAmhQOgCaFA6BJ4QBoer1wu93u&#10;AwDWcjwet9vtiNACrxduevYFAGu53W77/X5EaIHXC3c6neYZAKzgfr8fDocRoQUUDoD/QeEAaFI4&#10;AJoUDoAmhQOgSeEAaFI4AJoUDoAmhQOgSeEAaFI4AJoUDoAmhQOgSeEAaFI4AJoUDoAmhQOgSeEA&#10;aFI4AJoUDoAmhQOgSeEAaFI4AJoUDoAmhQOgSeEAaFI4AJoUDoAmhQOgSeEAaFI4AJoUDoAmhQOg&#10;SeEAaFI4AJoUDoAmhQOg6U+F+3zG9XqdZwCwjik9I0ILnM/nKYrz8O37GfMGANY0IrTM2EyFGxcA&#10;WhQOgCaFA6BJ4QAoejx+AI8eofkOmPJjAAAAAElFTkSuQmCCUEsBAi0AFAAGAAgAAAAhALGCZ7YK&#10;AQAAEwIAABMAAAAAAAAAAAAAAAAAAAAAAFtDb250ZW50X1R5cGVzXS54bWxQSwECLQAUAAYACAAA&#10;ACEAOP0h/9YAAACUAQAACwAAAAAAAAAAAAAAAAA7AQAAX3JlbHMvLnJlbHNQSwECLQAUAAYACAAA&#10;ACEA21Fv484EAADZDgAADgAAAAAAAAAAAAAAAAA6AgAAZHJzL2Uyb0RvYy54bWxQSwECLQAUAAYA&#10;CAAAACEALmzwAMUAAAClAQAAGQAAAAAAAAAAAAAAAAA0BwAAZHJzL19yZWxzL2Uyb0RvYy54bWwu&#10;cmVsc1BLAQItABQABgAIAAAAIQBATiiZ4QAAAAoBAAAPAAAAAAAAAAAAAAAAADAIAABkcnMvZG93&#10;bnJldi54bWxQSwECLQAKAAAAAAAAACEAP2HrjPEBAADxAQAAFAAAAAAAAAAAAAAAAAA+CQAAZHJz&#10;L21lZGlhL2ltYWdlMS5wbmdQSwECLQAKAAAAAAAAACEAr8t/zO0BAADtAQAAFAAAAAAAAAAAAAAA&#10;AABhCwAAZHJzL21lZGlhL2ltYWdlMi5wbmdQSwUGAAAAAAcABwC+AQAAgA0AAAAA&#10;">
                <v:shape id="_x0000_s1064" type="#_x0000_t202" style="position:absolute;left:1614;top:3648;width:29665;height:1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6909BC" w:rsidRPr="00463C43" w:rsidRDefault="006909BC" w:rsidP="008C52C1">
                        <w:pPr>
                          <w:pStyle w:val="CVText"/>
                          <w:spacing w:line="240" w:lineRule="auto"/>
                          <w:ind w:right="360"/>
                          <w:jc w:val="center"/>
                          <w:rPr>
                            <w:i/>
                            <w:color w:val="005997"/>
                          </w:rPr>
                        </w:pPr>
                        <w:r>
                          <w:rPr>
                            <w:rFonts w:asciiTheme="minorHAnsi" w:hAnsiTheme="minorHAnsi"/>
                            <w:b/>
                            <w:i/>
                            <w:color w:val="005997"/>
                            <w:sz w:val="28"/>
                            <w:szCs w:val="28"/>
                            <w:lang w:val="en-US"/>
                          </w:rPr>
                          <w:t>San Diego MTS will be purchasing over 500 CNG vehicles for their fleet through 2017</w:t>
                        </w:r>
                      </w:p>
                    </w:txbxContent>
                  </v:textbox>
                </v:shape>
                <v:shape id="Picture 8" o:spid="_x0000_s1065" type="#_x0000_t75" alt="3mm_Frame_CV_19April2010-01_Top.png" style="position:absolute;width:30621;height: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hpVrDAAAA2wAAAA8AAABkcnMvZG93bnJldi54bWxEj0GLwjAUhO/C/ofwFrxpuiK6VqOIKLrg&#10;xXa9P5tnW7Z5qU3U+u/NguBxmJlvmNmiNZW4UeNKywq++hEI4szqknMFv+mm9w3CeWSNlWVS8CAH&#10;i/lHZ4axtnc+0C3xuQgQdjEqKLyvYyldVpBB17c1cfDOtjHog2xyqRu8B7ip5CCKRtJgyWGhwJpW&#10;BWV/ydUoGCdVuz+tKH1cdsf1fjKoabz9Uar72S6nIDy1/h1+tXdawXAC/1/CD5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6GlWsMAAADbAAAADwAAAAAAAAAAAAAAAACf&#10;AgAAZHJzL2Rvd25yZXYueG1sUEsFBgAAAAAEAAQA9wAAAI8DAAAAAA==&#10;">
                  <v:imagedata r:id="rId44" o:title="3mm_Frame_CV_19April2010-01_Top" croptop="-37860f" cropbottom="3123f" cropleft="160f" cropright="-106f" recolortarget="#1d4f5c [1448]"/>
                  <v:path arrowok="t"/>
                </v:shape>
                <v:shape id="Picture 8" o:spid="_x0000_s1066" type="#_x0000_t75" alt="3mm_Frame_CV_19April2010-01_Top.png" style="position:absolute;top:12971;width:30515;height:4466;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DY97EAAAA2wAAAA8AAABkcnMvZG93bnJldi54bWxETz1vwjAQ3SvxH6xDYkHgFAnaBgyqKlWl&#10;SymhDGyHfSSB+BxiA+m/x0Oljk/ve7ZobSWu1PjSsYLHYQKCWDtTcq7gZ/M+eAbhA7LByjEp+CUP&#10;i3nnYYapcTde0zULuYgh7FNUUIRQp1J6XZBFP3Q1ceQOrrEYImxyaRq8xXBbyVGSTKTFkmNDgTW9&#10;FaRP2cUq0E8fen3+/DLHyXbU7+/t4Xv3slKq121fpyACteFf/OdeGgXjuD5+iT9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DY97EAAAA2wAAAA8AAAAAAAAAAAAAAAAA&#10;nwIAAGRycy9kb3ducmV2LnhtbFBLBQYAAAAABAAEAPcAAACQAwAAAAA=&#10;">
                  <v:imagedata r:id="rId45" o:title="3mm_Frame_CV_19April2010-01_Top" croptop="-37860f" cropbottom="3123f" cropleft="-452f" cropright="506f" recolortarget="#1d4f5c [1448]"/>
                  <v:path arrowok="t"/>
                </v:shape>
                <w10:wrap type="square"/>
              </v:group>
            </w:pict>
          </mc:Fallback>
        </mc:AlternateContent>
      </w:r>
      <w:r w:rsidR="00524127" w:rsidRPr="00DE185C">
        <w:rPr>
          <w:rFonts w:ascii="Calibri" w:hAnsi="Calibri"/>
        </w:rPr>
        <w:t xml:space="preserve">In the 2013 </w:t>
      </w:r>
      <w:r w:rsidR="00524127" w:rsidRPr="00DE185C">
        <w:rPr>
          <w:rFonts w:ascii="Calibri" w:hAnsi="Calibri"/>
          <w:i/>
        </w:rPr>
        <w:t>Needs Assessment of Alternative Fuel Vehicle Training in California</w:t>
      </w:r>
      <w:r w:rsidR="00524127" w:rsidRPr="00DE185C">
        <w:rPr>
          <w:rFonts w:ascii="Calibri" w:hAnsi="Calibri"/>
        </w:rPr>
        <w:t xml:space="preserve">, a survey among first responders </w:t>
      </w:r>
      <w:r w:rsidR="00D746FB" w:rsidRPr="00DE185C">
        <w:rPr>
          <w:rFonts w:ascii="Calibri" w:hAnsi="Calibri"/>
        </w:rPr>
        <w:t>indicated</w:t>
      </w:r>
      <w:r w:rsidR="00524127" w:rsidRPr="00DE185C">
        <w:rPr>
          <w:rFonts w:ascii="Calibri" w:hAnsi="Calibri"/>
        </w:rPr>
        <w:t xml:space="preserve"> that there </w:t>
      </w:r>
      <w:r w:rsidR="00E2469F">
        <w:rPr>
          <w:rFonts w:ascii="Calibri" w:hAnsi="Calibri"/>
        </w:rPr>
        <w:t>is</w:t>
      </w:r>
      <w:r w:rsidR="000E7538" w:rsidRPr="00DE185C">
        <w:rPr>
          <w:rFonts w:ascii="Calibri" w:hAnsi="Calibri"/>
        </w:rPr>
        <w:t xml:space="preserve"> </w:t>
      </w:r>
      <w:r w:rsidR="00524127" w:rsidRPr="00DE185C">
        <w:rPr>
          <w:rFonts w:ascii="Calibri" w:hAnsi="Calibri"/>
        </w:rPr>
        <w:t>a strong need for alternative fuel vehicle safety training. Fifty-two</w:t>
      </w:r>
      <w:r w:rsidR="00086DAA" w:rsidRPr="00DE185C">
        <w:rPr>
          <w:rFonts w:ascii="Calibri" w:hAnsi="Calibri"/>
        </w:rPr>
        <w:t xml:space="preserve"> </w:t>
      </w:r>
      <w:r w:rsidR="00524127" w:rsidRPr="00DE185C">
        <w:rPr>
          <w:rFonts w:ascii="Calibri" w:hAnsi="Calibri"/>
        </w:rPr>
        <w:t xml:space="preserve">percent of </w:t>
      </w:r>
      <w:r w:rsidR="00D746FB" w:rsidRPr="00DE185C">
        <w:rPr>
          <w:rFonts w:ascii="Calibri" w:hAnsi="Calibri"/>
        </w:rPr>
        <w:t xml:space="preserve">the </w:t>
      </w:r>
      <w:r w:rsidR="00524127" w:rsidRPr="00DE185C">
        <w:rPr>
          <w:rFonts w:ascii="Calibri" w:hAnsi="Calibri"/>
        </w:rPr>
        <w:t xml:space="preserve">responding fire departments </w:t>
      </w:r>
      <w:r w:rsidR="00586012" w:rsidRPr="00DE185C">
        <w:rPr>
          <w:rFonts w:ascii="Calibri" w:hAnsi="Calibri"/>
        </w:rPr>
        <w:t>ha</w:t>
      </w:r>
      <w:r w:rsidR="000E7538">
        <w:rPr>
          <w:rFonts w:ascii="Calibri" w:hAnsi="Calibri"/>
        </w:rPr>
        <w:t>d yet to</w:t>
      </w:r>
      <w:r w:rsidR="00524127" w:rsidRPr="00DE185C">
        <w:rPr>
          <w:rFonts w:ascii="Calibri" w:hAnsi="Calibri"/>
        </w:rPr>
        <w:t xml:space="preserve"> offer</w:t>
      </w:r>
      <w:r w:rsidR="000E7538">
        <w:rPr>
          <w:rFonts w:ascii="Calibri" w:hAnsi="Calibri"/>
        </w:rPr>
        <w:t xml:space="preserve"> alternative fuel</w:t>
      </w:r>
      <w:r w:rsidR="00524127" w:rsidRPr="00DE185C">
        <w:rPr>
          <w:rFonts w:ascii="Calibri" w:hAnsi="Calibri"/>
        </w:rPr>
        <w:t xml:space="preserve"> training for their staff.</w:t>
      </w:r>
      <w:r w:rsidR="00524127" w:rsidRPr="00DE185C">
        <w:rPr>
          <w:rStyle w:val="FootnoteReference"/>
          <w:rFonts w:ascii="Calibri" w:hAnsi="Calibri"/>
        </w:rPr>
        <w:footnoteReference w:id="32"/>
      </w:r>
      <w:r w:rsidR="00524127" w:rsidRPr="00DE185C">
        <w:rPr>
          <w:rFonts w:ascii="Calibri" w:hAnsi="Calibri"/>
        </w:rPr>
        <w:t xml:space="preserve"> </w:t>
      </w:r>
    </w:p>
    <w:p w:rsidR="00524127" w:rsidRPr="00DE185C" w:rsidRDefault="00E2469F" w:rsidP="00524127">
      <w:pPr>
        <w:rPr>
          <w:rFonts w:ascii="Calibri" w:hAnsi="Calibri"/>
        </w:rPr>
      </w:pPr>
      <w:r>
        <w:rPr>
          <w:rFonts w:ascii="Calibri" w:hAnsi="Calibri"/>
        </w:rPr>
        <w:t>F</w:t>
      </w:r>
      <w:r w:rsidR="00524127" w:rsidRPr="00DE185C">
        <w:rPr>
          <w:rFonts w:ascii="Calibri" w:hAnsi="Calibri"/>
        </w:rPr>
        <w:t>leet technicians are trained by the manufacturer upon receiving a vehicle</w:t>
      </w:r>
      <w:r>
        <w:rPr>
          <w:rFonts w:ascii="Calibri" w:hAnsi="Calibri"/>
        </w:rPr>
        <w:t>;</w:t>
      </w:r>
      <w:r w:rsidR="00524127" w:rsidRPr="00DE185C">
        <w:rPr>
          <w:rFonts w:ascii="Calibri" w:hAnsi="Calibri"/>
        </w:rPr>
        <w:t xml:space="preserve"> </w:t>
      </w:r>
      <w:r>
        <w:rPr>
          <w:rFonts w:ascii="Calibri" w:hAnsi="Calibri"/>
        </w:rPr>
        <w:t xml:space="preserve">however, </w:t>
      </w:r>
      <w:r w:rsidR="00524127" w:rsidRPr="00DE185C">
        <w:rPr>
          <w:rFonts w:ascii="Calibri" w:hAnsi="Calibri"/>
        </w:rPr>
        <w:t xml:space="preserve">due to the 3-5 year </w:t>
      </w:r>
      <w:r w:rsidR="00D746FB" w:rsidRPr="00DE185C">
        <w:rPr>
          <w:rFonts w:ascii="Calibri" w:hAnsi="Calibri"/>
        </w:rPr>
        <w:t xml:space="preserve">vehicle </w:t>
      </w:r>
      <w:r w:rsidR="00524127" w:rsidRPr="00DE185C">
        <w:rPr>
          <w:rFonts w:ascii="Calibri" w:hAnsi="Calibri"/>
        </w:rPr>
        <w:t>manufacturer warranty</w:t>
      </w:r>
      <w:r>
        <w:rPr>
          <w:rFonts w:ascii="Calibri" w:hAnsi="Calibri"/>
        </w:rPr>
        <w:t>, this training often goes unused and in many cases, is lacking by the time they actually need to work on the vehicle</w:t>
      </w:r>
      <w:r w:rsidR="00524127" w:rsidRPr="00DE185C">
        <w:rPr>
          <w:rFonts w:ascii="Calibri" w:hAnsi="Calibri"/>
        </w:rPr>
        <w:t xml:space="preserve">. </w:t>
      </w:r>
      <w:r w:rsidR="00BF7A75" w:rsidRPr="00DE185C">
        <w:rPr>
          <w:rFonts w:ascii="Calibri" w:hAnsi="Calibri"/>
        </w:rPr>
        <w:t>In the Fleet Survey, respondents note</w:t>
      </w:r>
      <w:r w:rsidR="000E7538">
        <w:rPr>
          <w:rFonts w:ascii="Calibri" w:hAnsi="Calibri"/>
        </w:rPr>
        <w:t>d</w:t>
      </w:r>
      <w:r w:rsidR="00BF7A75" w:rsidRPr="00DE185C">
        <w:rPr>
          <w:rFonts w:ascii="Calibri" w:hAnsi="Calibri"/>
        </w:rPr>
        <w:t xml:space="preserve"> that, along with information on rebates and incentives, maintenance or mechanic training </w:t>
      </w:r>
      <w:r w:rsidR="000E7538">
        <w:rPr>
          <w:rFonts w:ascii="Calibri" w:hAnsi="Calibri"/>
        </w:rPr>
        <w:t>was</w:t>
      </w:r>
      <w:r w:rsidR="00BF7A75" w:rsidRPr="00DE185C">
        <w:rPr>
          <w:rFonts w:ascii="Calibri" w:hAnsi="Calibri"/>
        </w:rPr>
        <w:t xml:space="preserve"> a very desirable resource to have. </w:t>
      </w:r>
    </w:p>
    <w:p w:rsidR="00524127" w:rsidRPr="00DE185C" w:rsidRDefault="000E7538" w:rsidP="00524127">
      <w:pPr>
        <w:rPr>
          <w:rFonts w:ascii="Calibri" w:hAnsi="Calibri"/>
        </w:rPr>
      </w:pPr>
      <w:r>
        <w:rPr>
          <w:rFonts w:ascii="Calibri" w:hAnsi="Calibri"/>
        </w:rPr>
        <w:t xml:space="preserve">The San Diego region has held </w:t>
      </w:r>
      <w:r w:rsidR="00524127" w:rsidRPr="00DE185C">
        <w:rPr>
          <w:rFonts w:ascii="Calibri" w:hAnsi="Calibri"/>
        </w:rPr>
        <w:t xml:space="preserve">a few specialized trainings </w:t>
      </w:r>
      <w:r w:rsidR="0067268C" w:rsidRPr="00DE185C">
        <w:rPr>
          <w:rFonts w:ascii="Calibri" w:hAnsi="Calibri"/>
        </w:rPr>
        <w:t>over the past five years</w:t>
      </w:r>
      <w:r>
        <w:rPr>
          <w:rFonts w:ascii="Calibri" w:hAnsi="Calibri"/>
        </w:rPr>
        <w:t xml:space="preserve"> to</w:t>
      </w:r>
      <w:r w:rsidR="00524127" w:rsidRPr="00DE185C">
        <w:rPr>
          <w:rFonts w:ascii="Calibri" w:hAnsi="Calibri"/>
        </w:rPr>
        <w:t xml:space="preserve"> better prepare for alternative fuels. Specialized trainings include technical training on biodiesel and natural gas, hybrid vehicle technology, and first responder trainings</w:t>
      </w:r>
      <w:r>
        <w:rPr>
          <w:rFonts w:ascii="Calibri" w:hAnsi="Calibri"/>
        </w:rPr>
        <w:t xml:space="preserve"> for emergency personnel and</w:t>
      </w:r>
      <w:r w:rsidR="00524127" w:rsidRPr="00DE185C">
        <w:rPr>
          <w:rFonts w:ascii="Calibri" w:hAnsi="Calibri"/>
        </w:rPr>
        <w:t xml:space="preserve"> for tow truck drivers. </w:t>
      </w:r>
    </w:p>
    <w:p w:rsidR="00524127" w:rsidRPr="00DE185C" w:rsidRDefault="00524127" w:rsidP="00524127">
      <w:pPr>
        <w:rPr>
          <w:rFonts w:ascii="Calibri" w:hAnsi="Calibri"/>
        </w:rPr>
      </w:pPr>
      <w:r w:rsidRPr="00DE185C">
        <w:rPr>
          <w:rFonts w:ascii="Calibri" w:hAnsi="Calibri"/>
        </w:rPr>
        <w:t>Education</w:t>
      </w:r>
      <w:r w:rsidR="005B6398" w:rsidRPr="00DE185C">
        <w:rPr>
          <w:rFonts w:ascii="Calibri" w:hAnsi="Calibri"/>
        </w:rPr>
        <w:t>al</w:t>
      </w:r>
      <w:r w:rsidRPr="00DE185C">
        <w:rPr>
          <w:rFonts w:ascii="Calibri" w:hAnsi="Calibri"/>
        </w:rPr>
        <w:t xml:space="preserve"> </w:t>
      </w:r>
      <w:r w:rsidR="005B6398" w:rsidRPr="00DE185C">
        <w:rPr>
          <w:rFonts w:ascii="Calibri" w:hAnsi="Calibri"/>
        </w:rPr>
        <w:t xml:space="preserve">programs </w:t>
      </w:r>
      <w:r w:rsidRPr="00DE185C">
        <w:rPr>
          <w:rFonts w:ascii="Calibri" w:hAnsi="Calibri"/>
        </w:rPr>
        <w:t xml:space="preserve">such as </w:t>
      </w:r>
      <w:r w:rsidR="006A0902">
        <w:rPr>
          <w:rFonts w:ascii="Calibri" w:hAnsi="Calibri"/>
        </w:rPr>
        <w:t xml:space="preserve">those provided by </w:t>
      </w:r>
      <w:r w:rsidR="005B6398" w:rsidRPr="00DE185C">
        <w:rPr>
          <w:rFonts w:ascii="Calibri" w:hAnsi="Calibri"/>
        </w:rPr>
        <w:t xml:space="preserve">the San Diego </w:t>
      </w:r>
      <w:r w:rsidRPr="00DE185C">
        <w:rPr>
          <w:rFonts w:ascii="Calibri" w:hAnsi="Calibri"/>
        </w:rPr>
        <w:t>Miramar College Advanced Transportation Technology and Energy (ATTE)</w:t>
      </w:r>
      <w:r w:rsidR="005B6398" w:rsidRPr="00DE185C">
        <w:rPr>
          <w:rFonts w:ascii="Calibri" w:hAnsi="Calibri"/>
        </w:rPr>
        <w:t xml:space="preserve"> Center</w:t>
      </w:r>
      <w:r w:rsidRPr="00DE185C">
        <w:rPr>
          <w:rFonts w:ascii="Calibri" w:hAnsi="Calibri"/>
        </w:rPr>
        <w:t xml:space="preserve"> offer</w:t>
      </w:r>
      <w:r w:rsidR="00A747B9">
        <w:rPr>
          <w:rFonts w:ascii="Calibri" w:hAnsi="Calibri"/>
        </w:rPr>
        <w:t>s</w:t>
      </w:r>
      <w:r w:rsidRPr="00DE185C">
        <w:rPr>
          <w:rFonts w:ascii="Calibri" w:hAnsi="Calibri"/>
        </w:rPr>
        <w:t xml:space="preserve"> </w:t>
      </w:r>
      <w:r w:rsidR="00A747B9">
        <w:rPr>
          <w:rFonts w:ascii="Calibri" w:hAnsi="Calibri"/>
        </w:rPr>
        <w:t xml:space="preserve">much of </w:t>
      </w:r>
      <w:r w:rsidRPr="00DE185C">
        <w:rPr>
          <w:rFonts w:ascii="Calibri" w:hAnsi="Calibri"/>
        </w:rPr>
        <w:t xml:space="preserve">the technical education, training, and resources needed to allow its students to work with advanced, clean fuel technologies. ATTE offers training regularly throughout the year. </w:t>
      </w:r>
    </w:p>
    <w:p w:rsidR="00524127" w:rsidRPr="00DE185C" w:rsidRDefault="00524127" w:rsidP="00524127">
      <w:pPr>
        <w:rPr>
          <w:rFonts w:ascii="Calibri" w:hAnsi="Calibri"/>
        </w:rPr>
      </w:pPr>
      <w:r w:rsidRPr="00DE185C">
        <w:rPr>
          <w:rFonts w:ascii="Calibri" w:hAnsi="Calibri"/>
        </w:rPr>
        <w:t xml:space="preserve">Another regularly occurring alternative fuel training is the Electric Vehicle Infrastructure Training Program (EVITP), a training and certification opportunity for electricians who wish to learn how to install </w:t>
      </w:r>
      <w:r w:rsidR="000F1709" w:rsidRPr="00DE185C">
        <w:rPr>
          <w:rFonts w:ascii="Calibri" w:hAnsi="Calibri"/>
        </w:rPr>
        <w:t>electric vehicle service equipment (</w:t>
      </w:r>
      <w:r w:rsidRPr="00DE185C">
        <w:rPr>
          <w:rFonts w:ascii="Calibri" w:hAnsi="Calibri"/>
        </w:rPr>
        <w:t>EVSE</w:t>
      </w:r>
      <w:r w:rsidR="000F1709" w:rsidRPr="00DE185C">
        <w:rPr>
          <w:rFonts w:ascii="Calibri" w:hAnsi="Calibri"/>
        </w:rPr>
        <w:t>)</w:t>
      </w:r>
      <w:r w:rsidRPr="00DE185C">
        <w:rPr>
          <w:rFonts w:ascii="Calibri" w:hAnsi="Calibri"/>
        </w:rPr>
        <w:t>. The San Diego Electrical Training Trust</w:t>
      </w:r>
      <w:r w:rsidR="009A11D6" w:rsidRPr="00DE185C">
        <w:rPr>
          <w:rFonts w:ascii="Calibri" w:hAnsi="Calibri"/>
        </w:rPr>
        <w:t xml:space="preserve"> (Electrical Training Trust)</w:t>
      </w:r>
      <w:r w:rsidRPr="00DE185C">
        <w:rPr>
          <w:rFonts w:ascii="Calibri" w:hAnsi="Calibri"/>
        </w:rPr>
        <w:t xml:space="preserve">, a partnership of the International Brotherhood of Electrical Workers (IBEW) Local 569 and the San Diego Chapter of NECA and </w:t>
      </w:r>
      <w:proofErr w:type="spellStart"/>
      <w:r w:rsidRPr="00DE185C">
        <w:rPr>
          <w:rFonts w:ascii="Calibri" w:hAnsi="Calibri"/>
        </w:rPr>
        <w:t>Cuyamaca</w:t>
      </w:r>
      <w:proofErr w:type="spellEnd"/>
      <w:r w:rsidRPr="00DE185C">
        <w:rPr>
          <w:rFonts w:ascii="Calibri" w:hAnsi="Calibri"/>
        </w:rPr>
        <w:t xml:space="preserve"> College have offered EVITP. Since November 2011, the Electrical Training Trust has trained over 60 electricians with the EVITP curriculum and ha</w:t>
      </w:r>
      <w:r w:rsidR="00F228D8" w:rsidRPr="00DE185C">
        <w:rPr>
          <w:rFonts w:ascii="Calibri" w:hAnsi="Calibri"/>
        </w:rPr>
        <w:t>s</w:t>
      </w:r>
      <w:r w:rsidRPr="00DE185C">
        <w:rPr>
          <w:rFonts w:ascii="Calibri" w:hAnsi="Calibri"/>
        </w:rPr>
        <w:t xml:space="preserve"> offered the course three to four times per year since its </w:t>
      </w:r>
      <w:r w:rsidR="009A11D6" w:rsidRPr="00DE185C">
        <w:rPr>
          <w:rFonts w:ascii="Calibri" w:hAnsi="Calibri"/>
        </w:rPr>
        <w:t>inception</w:t>
      </w:r>
      <w:r w:rsidRPr="00DE185C">
        <w:rPr>
          <w:rFonts w:ascii="Calibri" w:hAnsi="Calibri"/>
        </w:rPr>
        <w:t xml:space="preserve">. </w:t>
      </w:r>
    </w:p>
    <w:p w:rsidR="00524127" w:rsidRPr="00DE185C" w:rsidRDefault="00524127" w:rsidP="00524127">
      <w:pPr>
        <w:rPr>
          <w:rFonts w:ascii="Calibri" w:hAnsi="Calibri"/>
        </w:rPr>
      </w:pPr>
      <w:r w:rsidRPr="00DE185C">
        <w:rPr>
          <w:rFonts w:ascii="Calibri" w:hAnsi="Calibri"/>
        </w:rPr>
        <w:t xml:space="preserve">As part of the </w:t>
      </w:r>
      <w:r w:rsidR="00F228D8" w:rsidRPr="00DE185C">
        <w:rPr>
          <w:rFonts w:ascii="Calibri" w:hAnsi="Calibri"/>
        </w:rPr>
        <w:t xml:space="preserve">Energy Commission award for PEV readiness planning, the </w:t>
      </w:r>
      <w:r w:rsidR="00847AD1" w:rsidRPr="00DE185C">
        <w:rPr>
          <w:rFonts w:ascii="Calibri" w:hAnsi="Calibri"/>
        </w:rPr>
        <w:t xml:space="preserve">REVI </w:t>
      </w:r>
      <w:r w:rsidR="00F228D8" w:rsidRPr="00DE185C">
        <w:rPr>
          <w:rFonts w:ascii="Calibri" w:hAnsi="Calibri"/>
        </w:rPr>
        <w:t>working group hosted</w:t>
      </w:r>
      <w:r w:rsidRPr="00DE185C">
        <w:rPr>
          <w:rFonts w:ascii="Calibri" w:hAnsi="Calibri"/>
        </w:rPr>
        <w:t xml:space="preserve"> </w:t>
      </w:r>
      <w:r w:rsidR="00F228D8" w:rsidRPr="00DE185C">
        <w:rPr>
          <w:rFonts w:ascii="Calibri" w:hAnsi="Calibri"/>
        </w:rPr>
        <w:t xml:space="preserve">an </w:t>
      </w:r>
      <w:r w:rsidRPr="00DE185C">
        <w:rPr>
          <w:rFonts w:ascii="Calibri" w:hAnsi="Calibri"/>
        </w:rPr>
        <w:t>EVITP session</w:t>
      </w:r>
      <w:r w:rsidR="00A825F4">
        <w:rPr>
          <w:rFonts w:ascii="Calibri" w:hAnsi="Calibri"/>
        </w:rPr>
        <w:t xml:space="preserve"> </w:t>
      </w:r>
      <w:r w:rsidR="00402E8C">
        <w:rPr>
          <w:rFonts w:ascii="Calibri" w:hAnsi="Calibri"/>
        </w:rPr>
        <w:t xml:space="preserve">for </w:t>
      </w:r>
      <w:r w:rsidR="00A825F4">
        <w:rPr>
          <w:rFonts w:ascii="Calibri" w:hAnsi="Calibri"/>
        </w:rPr>
        <w:t>the region in 20</w:t>
      </w:r>
      <w:r w:rsidR="00972F58">
        <w:rPr>
          <w:rFonts w:ascii="Calibri" w:hAnsi="Calibri"/>
        </w:rPr>
        <w:t>12</w:t>
      </w:r>
      <w:r w:rsidRPr="00DE185C">
        <w:rPr>
          <w:rFonts w:ascii="Calibri" w:hAnsi="Calibri"/>
        </w:rPr>
        <w:t>. Th</w:t>
      </w:r>
      <w:r w:rsidR="00A825F4">
        <w:rPr>
          <w:rFonts w:ascii="Calibri" w:hAnsi="Calibri"/>
        </w:rPr>
        <w:t>e</w:t>
      </w:r>
      <w:r w:rsidRPr="00DE185C">
        <w:rPr>
          <w:rFonts w:ascii="Calibri" w:hAnsi="Calibri"/>
        </w:rPr>
        <w:t xml:space="preserve"> session was </w:t>
      </w:r>
      <w:r w:rsidR="00A825F4">
        <w:rPr>
          <w:rFonts w:ascii="Calibri" w:hAnsi="Calibri"/>
        </w:rPr>
        <w:t xml:space="preserve">offered to </w:t>
      </w:r>
      <w:r w:rsidRPr="00DE185C">
        <w:rPr>
          <w:rFonts w:ascii="Calibri" w:hAnsi="Calibri"/>
        </w:rPr>
        <w:t>electricians and city planners</w:t>
      </w:r>
      <w:r w:rsidR="00A825F4">
        <w:rPr>
          <w:rFonts w:ascii="Calibri" w:hAnsi="Calibri"/>
        </w:rPr>
        <w:t>.</w:t>
      </w:r>
    </w:p>
    <w:p w:rsidR="00524127" w:rsidRPr="00DE185C" w:rsidRDefault="00524127" w:rsidP="00524127">
      <w:pPr>
        <w:pStyle w:val="Heading2"/>
        <w:rPr>
          <w:rFonts w:ascii="Calibri" w:hAnsi="Calibri"/>
        </w:rPr>
      </w:pPr>
      <w:bookmarkStart w:id="85" w:name="_Toc410636713"/>
      <w:bookmarkStart w:id="86" w:name="_Toc416259263"/>
      <w:r w:rsidRPr="00DE185C">
        <w:rPr>
          <w:rFonts w:ascii="Calibri" w:hAnsi="Calibri"/>
        </w:rPr>
        <w:t>Municipal Staff Training</w:t>
      </w:r>
      <w:bookmarkEnd w:id="85"/>
      <w:bookmarkEnd w:id="86"/>
      <w:r w:rsidRPr="00DE185C">
        <w:rPr>
          <w:rFonts w:ascii="Calibri" w:hAnsi="Calibri"/>
        </w:rPr>
        <w:t xml:space="preserve"> </w:t>
      </w:r>
    </w:p>
    <w:p w:rsidR="00644C3C" w:rsidRPr="00DE185C" w:rsidRDefault="00644C3C" w:rsidP="00644C3C">
      <w:pPr>
        <w:rPr>
          <w:rFonts w:ascii="Calibri" w:hAnsi="Calibri"/>
        </w:rPr>
      </w:pPr>
      <w:r w:rsidRPr="00DE185C">
        <w:rPr>
          <w:rFonts w:ascii="Calibri" w:hAnsi="Calibri"/>
        </w:rPr>
        <w:t>In July 2012, the San Diego Area Chapter of the International Code Council and the San Diego Chapter of the NECA hosted a seminar on PEV infrastructure installations for over 60 San Diego regional building code inspectors, local government staff, and industry professionals. This training covered NECA requirements for various PEV infrastructure installations in order to abide by NEC rules and safety standards.</w:t>
      </w:r>
    </w:p>
    <w:p w:rsidR="00524127" w:rsidRPr="00DE185C" w:rsidRDefault="00A825F4" w:rsidP="00524127">
      <w:pPr>
        <w:rPr>
          <w:rFonts w:ascii="Calibri" w:hAnsi="Calibri"/>
        </w:rPr>
      </w:pPr>
      <w:r>
        <w:rPr>
          <w:rFonts w:ascii="Calibri" w:hAnsi="Calibri"/>
        </w:rPr>
        <w:t>Some</w:t>
      </w:r>
      <w:r w:rsidR="00524127" w:rsidRPr="00DE185C">
        <w:rPr>
          <w:rFonts w:ascii="Calibri" w:hAnsi="Calibri"/>
        </w:rPr>
        <w:t xml:space="preserve"> training on codes and permitting </w:t>
      </w:r>
      <w:r w:rsidR="00847AD1" w:rsidRPr="00DE185C">
        <w:rPr>
          <w:rFonts w:ascii="Calibri" w:hAnsi="Calibri"/>
        </w:rPr>
        <w:t xml:space="preserve">for </w:t>
      </w:r>
      <w:r w:rsidR="00524127" w:rsidRPr="00DE185C">
        <w:rPr>
          <w:rFonts w:ascii="Calibri" w:hAnsi="Calibri"/>
        </w:rPr>
        <w:t>alternative fuel infrastructure and vehicles</w:t>
      </w:r>
      <w:r>
        <w:rPr>
          <w:rFonts w:ascii="Calibri" w:hAnsi="Calibri"/>
        </w:rPr>
        <w:t xml:space="preserve"> has </w:t>
      </w:r>
      <w:r w:rsidR="002B47DF">
        <w:rPr>
          <w:rFonts w:ascii="Calibri" w:hAnsi="Calibri"/>
        </w:rPr>
        <w:t xml:space="preserve">taken place in the region </w:t>
      </w:r>
      <w:r>
        <w:rPr>
          <w:rFonts w:ascii="Calibri" w:hAnsi="Calibri"/>
        </w:rPr>
        <w:t xml:space="preserve">but </w:t>
      </w:r>
      <w:r w:rsidR="00CA595C">
        <w:rPr>
          <w:rFonts w:ascii="Calibri" w:hAnsi="Calibri"/>
        </w:rPr>
        <w:t xml:space="preserve">insuring this </w:t>
      </w:r>
      <w:r>
        <w:rPr>
          <w:rFonts w:ascii="Calibri" w:hAnsi="Calibri"/>
        </w:rPr>
        <w:t xml:space="preserve">training </w:t>
      </w:r>
      <w:r w:rsidR="00CA595C">
        <w:rPr>
          <w:rFonts w:ascii="Calibri" w:hAnsi="Calibri"/>
        </w:rPr>
        <w:t xml:space="preserve">continues </w:t>
      </w:r>
      <w:r w:rsidR="002B47DF">
        <w:rPr>
          <w:rFonts w:ascii="Calibri" w:hAnsi="Calibri"/>
        </w:rPr>
        <w:t>is critical to maintaining current on code and permitting changes</w:t>
      </w:r>
      <w:r w:rsidR="003A2BDF">
        <w:rPr>
          <w:rFonts w:ascii="Calibri" w:hAnsi="Calibri"/>
        </w:rPr>
        <w:t xml:space="preserve"> and opportunities</w:t>
      </w:r>
      <w:r w:rsidR="00524127" w:rsidRPr="00DE185C">
        <w:rPr>
          <w:rFonts w:ascii="Calibri" w:hAnsi="Calibri"/>
        </w:rPr>
        <w:t xml:space="preserve">.  </w:t>
      </w:r>
      <w:r>
        <w:rPr>
          <w:rFonts w:ascii="Calibri" w:hAnsi="Calibri"/>
        </w:rPr>
        <w:t xml:space="preserve">The regional </w:t>
      </w:r>
      <w:r w:rsidR="00BC0FBF">
        <w:rPr>
          <w:rFonts w:ascii="Calibri" w:hAnsi="Calibri"/>
        </w:rPr>
        <w:t xml:space="preserve">alternative fuel </w:t>
      </w:r>
      <w:r>
        <w:rPr>
          <w:rFonts w:ascii="Calibri" w:hAnsi="Calibri"/>
        </w:rPr>
        <w:t xml:space="preserve">readiness planning grant is helping to identify training needs as well as the implementation of the PEV regional readiness plan. In </w:t>
      </w:r>
      <w:r w:rsidR="00524127" w:rsidRPr="00DE185C">
        <w:rPr>
          <w:rFonts w:ascii="Calibri" w:hAnsi="Calibri"/>
        </w:rPr>
        <w:t xml:space="preserve">November 2014, SANDAG received a grant from the </w:t>
      </w:r>
      <w:r w:rsidR="002B63D6" w:rsidRPr="00DE185C">
        <w:rPr>
          <w:rFonts w:ascii="Calibri" w:hAnsi="Calibri"/>
        </w:rPr>
        <w:t>Energy Commission</w:t>
      </w:r>
      <w:r w:rsidR="00524127" w:rsidRPr="00DE185C">
        <w:rPr>
          <w:rFonts w:ascii="Calibri" w:hAnsi="Calibri"/>
        </w:rPr>
        <w:t xml:space="preserve"> that will allow the region to </w:t>
      </w:r>
      <w:r w:rsidR="006226BC" w:rsidRPr="00DE185C">
        <w:rPr>
          <w:rFonts w:ascii="Calibri" w:hAnsi="Calibri"/>
        </w:rPr>
        <w:t xml:space="preserve">continue work initiated </w:t>
      </w:r>
      <w:r>
        <w:rPr>
          <w:rFonts w:ascii="Calibri" w:hAnsi="Calibri"/>
        </w:rPr>
        <w:t>by</w:t>
      </w:r>
      <w:r w:rsidR="006226BC" w:rsidRPr="00DE185C">
        <w:rPr>
          <w:rFonts w:ascii="Calibri" w:hAnsi="Calibri"/>
        </w:rPr>
        <w:t xml:space="preserve"> the REVI working group, to </w:t>
      </w:r>
      <w:r w:rsidR="00524127" w:rsidRPr="00DE185C">
        <w:rPr>
          <w:rFonts w:ascii="Calibri" w:hAnsi="Calibri"/>
        </w:rPr>
        <w:t>offer code and permit training and support for electric vehicle infrastructure.</w:t>
      </w:r>
    </w:p>
    <w:p w:rsidR="008C5E54" w:rsidRPr="00DE185C" w:rsidRDefault="008C5E54">
      <w:pPr>
        <w:rPr>
          <w:rFonts w:ascii="Calibri" w:eastAsiaTheme="majorEastAsia" w:hAnsi="Calibri" w:cstheme="majorBidi"/>
          <w:bCs/>
          <w:sz w:val="40"/>
          <w:szCs w:val="28"/>
        </w:rPr>
      </w:pPr>
      <w:bookmarkStart w:id="87" w:name="_Toc410636714"/>
      <w:r w:rsidRPr="00DE185C">
        <w:rPr>
          <w:rFonts w:ascii="Calibri" w:hAnsi="Calibri"/>
        </w:rPr>
        <w:br w:type="page"/>
      </w:r>
    </w:p>
    <w:p w:rsidR="00524127" w:rsidRPr="00DE185C" w:rsidRDefault="00841E0C" w:rsidP="00524127">
      <w:pPr>
        <w:pStyle w:val="Heading1"/>
        <w:rPr>
          <w:rFonts w:ascii="Calibri" w:hAnsi="Calibri"/>
        </w:rPr>
      </w:pPr>
      <w:bookmarkStart w:id="88" w:name="_Toc416259264"/>
      <w:r w:rsidRPr="00DE185C">
        <w:rPr>
          <w:rFonts w:ascii="Calibri" w:hAnsi="Calibri"/>
        </w:rPr>
        <w:t xml:space="preserve">11. </w:t>
      </w:r>
      <w:r w:rsidR="00524127" w:rsidRPr="00DE185C">
        <w:rPr>
          <w:rFonts w:ascii="Calibri" w:hAnsi="Calibri"/>
        </w:rPr>
        <w:t>Outreach and Education</w:t>
      </w:r>
      <w:bookmarkEnd w:id="87"/>
      <w:bookmarkEnd w:id="88"/>
    </w:p>
    <w:p w:rsidR="00524127" w:rsidRPr="00DE185C" w:rsidRDefault="00D96784" w:rsidP="00524127">
      <w:pPr>
        <w:rPr>
          <w:rFonts w:ascii="Calibri" w:hAnsi="Calibri"/>
        </w:rPr>
      </w:pPr>
      <w:r w:rsidRPr="00DE185C">
        <w:rPr>
          <w:rFonts w:ascii="Calibri" w:hAnsi="Calibri"/>
        </w:rPr>
        <w:t>Community o</w:t>
      </w:r>
      <w:r w:rsidR="00524127" w:rsidRPr="00DE185C">
        <w:rPr>
          <w:rFonts w:ascii="Calibri" w:hAnsi="Calibri"/>
        </w:rPr>
        <w:t xml:space="preserve">utreach and education help eliminate misconceptions </w:t>
      </w:r>
      <w:r w:rsidR="00263672" w:rsidRPr="00DE185C">
        <w:rPr>
          <w:rFonts w:ascii="Calibri" w:hAnsi="Calibri"/>
        </w:rPr>
        <w:t xml:space="preserve">and fosters awareness surrounding </w:t>
      </w:r>
      <w:r w:rsidR="00524127" w:rsidRPr="00DE185C">
        <w:rPr>
          <w:rFonts w:ascii="Calibri" w:hAnsi="Calibri"/>
        </w:rPr>
        <w:t>alternative fuels. SDRCCC hosts several yearly events in</w:t>
      </w:r>
      <w:r w:rsidR="00FE2FB3" w:rsidRPr="00DE185C">
        <w:rPr>
          <w:rFonts w:ascii="Calibri" w:hAnsi="Calibri"/>
        </w:rPr>
        <w:t>tended</w:t>
      </w:r>
      <w:r w:rsidR="00524127" w:rsidRPr="00DE185C">
        <w:rPr>
          <w:rFonts w:ascii="Calibri" w:hAnsi="Calibri"/>
        </w:rPr>
        <w:t xml:space="preserve"> to increase the community’s awareness and knowledge on alternative fuels</w:t>
      </w:r>
      <w:r w:rsidR="00A11B13">
        <w:rPr>
          <w:rFonts w:ascii="Calibri" w:hAnsi="Calibri"/>
        </w:rPr>
        <w:t>, as shown in Table 11-1</w:t>
      </w:r>
      <w:r w:rsidR="00524127" w:rsidRPr="00DE185C">
        <w:rPr>
          <w:rFonts w:ascii="Calibri" w:hAnsi="Calibri"/>
        </w:rPr>
        <w:t xml:space="preserve">. </w:t>
      </w:r>
      <w:r w:rsidR="00644C3C">
        <w:rPr>
          <w:rFonts w:ascii="Calibri" w:hAnsi="Calibri"/>
        </w:rPr>
        <w:t xml:space="preserve">Other agencies in the region also support alternative fuel deployment through more specific events, ranging from </w:t>
      </w:r>
      <w:r w:rsidR="00EE25B2">
        <w:rPr>
          <w:rFonts w:ascii="Calibri" w:hAnsi="Calibri"/>
        </w:rPr>
        <w:t xml:space="preserve">local government meetings or community workshops. </w:t>
      </w:r>
      <w:r w:rsidR="00841E0C" w:rsidRPr="00DE185C">
        <w:rPr>
          <w:rFonts w:ascii="Calibri" w:hAnsi="Calibri"/>
        </w:rPr>
        <w:t>According to the Public Agency Survey, 69</w:t>
      </w:r>
      <w:r w:rsidR="005D6853">
        <w:rPr>
          <w:rFonts w:ascii="Calibri" w:hAnsi="Calibri"/>
        </w:rPr>
        <w:t xml:space="preserve"> percent</w:t>
      </w:r>
      <w:r w:rsidR="00841E0C" w:rsidRPr="00DE185C">
        <w:rPr>
          <w:rFonts w:ascii="Calibri" w:hAnsi="Calibri"/>
        </w:rPr>
        <w:t xml:space="preserve"> of public agency respondents learned about alternative fuels through workshops or conferences.</w:t>
      </w:r>
      <w:r w:rsidR="000536AB" w:rsidRPr="00DE185C">
        <w:rPr>
          <w:rFonts w:ascii="Calibri" w:hAnsi="Calibri"/>
        </w:rPr>
        <w:t xml:space="preserve"> </w:t>
      </w:r>
    </w:p>
    <w:p w:rsidR="00524127" w:rsidRPr="00DE185C" w:rsidRDefault="00524127" w:rsidP="00C768E1">
      <w:pPr>
        <w:pStyle w:val="Heading5"/>
        <w:rPr>
          <w:rStyle w:val="BookTitle"/>
          <w:rFonts w:ascii="Calibri" w:hAnsi="Calibri"/>
          <w:b/>
          <w:bCs w:val="0"/>
          <w:spacing w:val="0"/>
          <w:sz w:val="24"/>
        </w:rPr>
      </w:pPr>
      <w:bookmarkStart w:id="89" w:name="_Toc416259326"/>
      <w:r w:rsidRPr="00DE185C">
        <w:rPr>
          <w:rStyle w:val="BookTitle"/>
          <w:rFonts w:ascii="Calibri" w:hAnsi="Calibri"/>
          <w:b/>
          <w:bCs w:val="0"/>
          <w:spacing w:val="0"/>
          <w:sz w:val="24"/>
        </w:rPr>
        <w:t>Table 1</w:t>
      </w:r>
      <w:r w:rsidR="00841E0C" w:rsidRPr="00DE185C">
        <w:rPr>
          <w:rStyle w:val="BookTitle"/>
          <w:rFonts w:ascii="Calibri" w:hAnsi="Calibri"/>
          <w:b/>
          <w:bCs w:val="0"/>
          <w:spacing w:val="0"/>
          <w:sz w:val="24"/>
        </w:rPr>
        <w:t>1-1</w:t>
      </w:r>
      <w:r w:rsidRPr="00DE185C">
        <w:rPr>
          <w:rStyle w:val="BookTitle"/>
          <w:rFonts w:ascii="Calibri" w:hAnsi="Calibri"/>
          <w:b/>
          <w:bCs w:val="0"/>
          <w:spacing w:val="0"/>
          <w:sz w:val="24"/>
        </w:rPr>
        <w:t xml:space="preserve">: </w:t>
      </w:r>
      <w:r w:rsidR="00342843" w:rsidRPr="00DE185C">
        <w:rPr>
          <w:rStyle w:val="BookTitle"/>
          <w:rFonts w:ascii="Calibri" w:hAnsi="Calibri"/>
          <w:b/>
          <w:bCs w:val="0"/>
          <w:spacing w:val="0"/>
          <w:sz w:val="24"/>
        </w:rPr>
        <w:t xml:space="preserve">San Diego Regional </w:t>
      </w:r>
      <w:r w:rsidRPr="00DE185C">
        <w:rPr>
          <w:rStyle w:val="BookTitle"/>
          <w:rFonts w:ascii="Calibri" w:hAnsi="Calibri"/>
          <w:b/>
          <w:bCs w:val="0"/>
          <w:spacing w:val="0"/>
          <w:sz w:val="24"/>
        </w:rPr>
        <w:t xml:space="preserve">Clean Cities </w:t>
      </w:r>
      <w:r w:rsidR="00342843" w:rsidRPr="00DE185C">
        <w:rPr>
          <w:rStyle w:val="BookTitle"/>
          <w:rFonts w:ascii="Calibri" w:hAnsi="Calibri"/>
          <w:b/>
          <w:bCs w:val="0"/>
          <w:spacing w:val="0"/>
          <w:sz w:val="24"/>
        </w:rPr>
        <w:t xml:space="preserve">Coalition </w:t>
      </w:r>
      <w:r w:rsidRPr="00DE185C">
        <w:rPr>
          <w:rStyle w:val="BookTitle"/>
          <w:rFonts w:ascii="Calibri" w:hAnsi="Calibri"/>
          <w:b/>
          <w:bCs w:val="0"/>
          <w:spacing w:val="0"/>
          <w:sz w:val="24"/>
        </w:rPr>
        <w:t>Workshops and Events, 2012-2014</w:t>
      </w:r>
      <w:bookmarkEnd w:id="89"/>
    </w:p>
    <w:tbl>
      <w:tblPr>
        <w:tblW w:w="7476" w:type="dxa"/>
        <w:jc w:val="center"/>
        <w:tblInd w:w="21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58"/>
        <w:gridCol w:w="2718"/>
      </w:tblGrid>
      <w:tr w:rsidR="008C5E54" w:rsidRPr="00DE185C" w:rsidTr="008C5E54">
        <w:trPr>
          <w:trHeight w:val="300"/>
          <w:jc w:val="center"/>
        </w:trPr>
        <w:tc>
          <w:tcPr>
            <w:tcW w:w="4758" w:type="dxa"/>
            <w:shd w:val="clear" w:color="auto" w:fill="314B5A"/>
            <w:noWrap/>
            <w:vAlign w:val="center"/>
            <w:hideMark/>
          </w:tcPr>
          <w:p w:rsidR="004F27D2" w:rsidRPr="00DE185C" w:rsidRDefault="004F27D2" w:rsidP="004F27D2">
            <w:pPr>
              <w:spacing w:after="0" w:line="240" w:lineRule="auto"/>
              <w:rPr>
                <w:rFonts w:ascii="Calibri" w:hAnsi="Calibri"/>
                <w:b/>
                <w:color w:val="FFFFFF" w:themeColor="background1"/>
              </w:rPr>
            </w:pPr>
            <w:r w:rsidRPr="00DE185C">
              <w:rPr>
                <w:rFonts w:ascii="Calibri" w:hAnsi="Calibri"/>
                <w:b/>
                <w:color w:val="FFFFFF" w:themeColor="background1"/>
              </w:rPr>
              <w:t>Clean Cities Workshops/Events</w:t>
            </w:r>
          </w:p>
        </w:tc>
        <w:tc>
          <w:tcPr>
            <w:tcW w:w="2718" w:type="dxa"/>
            <w:shd w:val="clear" w:color="auto" w:fill="314B5A"/>
          </w:tcPr>
          <w:p w:rsidR="004F27D2" w:rsidRPr="00DE185C" w:rsidRDefault="004F27D2" w:rsidP="004F27D2">
            <w:pPr>
              <w:spacing w:after="0" w:line="240" w:lineRule="auto"/>
              <w:rPr>
                <w:rFonts w:ascii="Calibri" w:hAnsi="Calibri"/>
                <w:b/>
                <w:color w:val="FFFFFF" w:themeColor="background1"/>
              </w:rPr>
            </w:pPr>
            <w:r w:rsidRPr="00DE185C">
              <w:rPr>
                <w:rFonts w:ascii="Calibri" w:hAnsi="Calibri"/>
                <w:b/>
                <w:color w:val="FFFFFF" w:themeColor="background1"/>
              </w:rPr>
              <w:t># People Reached</w:t>
            </w:r>
          </w:p>
        </w:tc>
      </w:tr>
      <w:tr w:rsidR="002E1FA2" w:rsidRPr="00DE185C" w:rsidTr="002E1FA2">
        <w:trPr>
          <w:trHeight w:val="315"/>
          <w:jc w:val="center"/>
        </w:trPr>
        <w:tc>
          <w:tcPr>
            <w:tcW w:w="4758" w:type="dxa"/>
            <w:shd w:val="clear" w:color="auto" w:fill="4F81BD" w:themeFill="accent1"/>
            <w:noWrap/>
            <w:vAlign w:val="center"/>
            <w:hideMark/>
          </w:tcPr>
          <w:p w:rsidR="00524127" w:rsidRPr="00DE185C" w:rsidRDefault="00524127" w:rsidP="002E1FA2">
            <w:pPr>
              <w:spacing w:after="0" w:line="240" w:lineRule="auto"/>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2014</w:t>
            </w:r>
          </w:p>
        </w:tc>
        <w:tc>
          <w:tcPr>
            <w:tcW w:w="2718" w:type="dxa"/>
            <w:shd w:val="clear" w:color="auto" w:fill="4F81BD" w:themeFill="accent1"/>
          </w:tcPr>
          <w:p w:rsidR="00524127" w:rsidRPr="00DE185C" w:rsidRDefault="00524127" w:rsidP="002E1FA2">
            <w:pPr>
              <w:spacing w:after="0" w:line="240" w:lineRule="auto"/>
              <w:rPr>
                <w:rFonts w:ascii="Calibri" w:eastAsia="Times New Roman" w:hAnsi="Calibri" w:cs="Times New Roman"/>
                <w:b/>
                <w:bCs/>
                <w:color w:val="FFFFFF" w:themeColor="background1"/>
                <w:sz w:val="24"/>
                <w:szCs w:val="24"/>
              </w:rPr>
            </w:pPr>
          </w:p>
        </w:tc>
      </w:tr>
      <w:tr w:rsidR="00524127" w:rsidRPr="00DE185C" w:rsidTr="002E1FA2">
        <w:trPr>
          <w:trHeight w:val="300"/>
          <w:jc w:val="center"/>
        </w:trPr>
        <w:tc>
          <w:tcPr>
            <w:tcW w:w="4758" w:type="dxa"/>
            <w:shd w:val="clear" w:color="auto" w:fill="B6DDE8" w:themeFill="accent5" w:themeFillTint="66"/>
            <w:noWrap/>
            <w:vAlign w:val="bottom"/>
            <w:hideMark/>
          </w:tcPr>
          <w:p w:rsidR="00524127" w:rsidRPr="00DE185C" w:rsidRDefault="0091155A">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Reducing Transportation Emissions</w:t>
            </w:r>
          </w:p>
        </w:tc>
        <w:tc>
          <w:tcPr>
            <w:tcW w:w="2718" w:type="dxa"/>
            <w:shd w:val="clear" w:color="auto" w:fill="B6DDE8" w:themeFill="accent5" w:themeFillTint="66"/>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30</w:t>
            </w:r>
          </w:p>
        </w:tc>
      </w:tr>
      <w:tr w:rsidR="00524127" w:rsidRPr="00DE185C" w:rsidTr="002E1FA2">
        <w:trPr>
          <w:trHeight w:val="300"/>
          <w:jc w:val="center"/>
        </w:trPr>
        <w:tc>
          <w:tcPr>
            <w:tcW w:w="4758" w:type="dxa"/>
            <w:shd w:val="clear" w:color="auto" w:fill="DAEEF3" w:themeFill="accent5" w:themeFillTint="33"/>
            <w:noWrap/>
            <w:vAlign w:val="center"/>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 xml:space="preserve">Steering San Diego Forward with Clean Mobility </w:t>
            </w:r>
          </w:p>
        </w:tc>
        <w:tc>
          <w:tcPr>
            <w:tcW w:w="2718" w:type="dxa"/>
            <w:shd w:val="clear" w:color="auto" w:fill="DAEEF3" w:themeFill="accent5" w:themeFillTint="33"/>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21</w:t>
            </w:r>
          </w:p>
        </w:tc>
      </w:tr>
      <w:tr w:rsidR="00524127" w:rsidRPr="00DE185C" w:rsidTr="002E1FA2">
        <w:trPr>
          <w:trHeight w:val="300"/>
          <w:jc w:val="center"/>
        </w:trPr>
        <w:tc>
          <w:tcPr>
            <w:tcW w:w="4758"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Alternative Fuels Best Practices</w:t>
            </w:r>
          </w:p>
        </w:tc>
        <w:tc>
          <w:tcPr>
            <w:tcW w:w="2718" w:type="dxa"/>
            <w:shd w:val="clear" w:color="auto" w:fill="B6DDE8" w:themeFill="accent5" w:themeFillTint="66"/>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40</w:t>
            </w:r>
          </w:p>
        </w:tc>
      </w:tr>
      <w:tr w:rsidR="002E1FA2" w:rsidRPr="00DE185C" w:rsidTr="002E1FA2">
        <w:trPr>
          <w:trHeight w:val="315"/>
          <w:jc w:val="center"/>
        </w:trPr>
        <w:tc>
          <w:tcPr>
            <w:tcW w:w="4758" w:type="dxa"/>
            <w:shd w:val="clear" w:color="auto" w:fill="4F81BD" w:themeFill="accent1"/>
            <w:noWrap/>
            <w:vAlign w:val="center"/>
            <w:hideMark/>
          </w:tcPr>
          <w:p w:rsidR="00524127" w:rsidRPr="00DE185C" w:rsidRDefault="00524127" w:rsidP="002E1FA2">
            <w:pPr>
              <w:spacing w:after="0" w:line="240" w:lineRule="auto"/>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2013</w:t>
            </w:r>
          </w:p>
        </w:tc>
        <w:tc>
          <w:tcPr>
            <w:tcW w:w="2718" w:type="dxa"/>
            <w:shd w:val="clear" w:color="auto" w:fill="4F81BD" w:themeFill="accent1"/>
          </w:tcPr>
          <w:p w:rsidR="00524127" w:rsidRPr="00DE185C" w:rsidRDefault="00524127" w:rsidP="002E1FA2">
            <w:pPr>
              <w:spacing w:after="0" w:line="240" w:lineRule="auto"/>
              <w:rPr>
                <w:rFonts w:ascii="Calibri" w:eastAsia="Times New Roman" w:hAnsi="Calibri" w:cs="Times New Roman"/>
                <w:b/>
                <w:bCs/>
                <w:color w:val="FFFFFF" w:themeColor="background1"/>
                <w:sz w:val="24"/>
                <w:szCs w:val="24"/>
              </w:rPr>
            </w:pPr>
          </w:p>
        </w:tc>
      </w:tr>
      <w:tr w:rsidR="00524127" w:rsidRPr="00DE185C" w:rsidTr="002E1FA2">
        <w:trPr>
          <w:trHeight w:val="300"/>
          <w:jc w:val="center"/>
        </w:trPr>
        <w:tc>
          <w:tcPr>
            <w:tcW w:w="4758"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Options and Opportunities for Alternative Fuels</w:t>
            </w:r>
          </w:p>
        </w:tc>
        <w:tc>
          <w:tcPr>
            <w:tcW w:w="2718" w:type="dxa"/>
            <w:shd w:val="clear" w:color="auto" w:fill="B6DDE8" w:themeFill="accent5" w:themeFillTint="66"/>
          </w:tcPr>
          <w:p w:rsidR="00524127" w:rsidRPr="00DE185C" w:rsidRDefault="00524127" w:rsidP="002E1FA2">
            <w:pPr>
              <w:spacing w:after="0" w:line="240" w:lineRule="auto"/>
              <w:rPr>
                <w:rFonts w:ascii="Calibri" w:eastAsia="Times New Roman" w:hAnsi="Calibri" w:cs="Times New Roman"/>
                <w:color w:val="000000"/>
                <w:highlight w:val="green"/>
              </w:rPr>
            </w:pPr>
            <w:r w:rsidRPr="00DE185C">
              <w:rPr>
                <w:rFonts w:ascii="Calibri" w:eastAsia="Times New Roman" w:hAnsi="Calibri" w:cs="Times New Roman"/>
                <w:color w:val="000000"/>
              </w:rPr>
              <w:t>37</w:t>
            </w:r>
          </w:p>
        </w:tc>
      </w:tr>
      <w:tr w:rsidR="00524127" w:rsidRPr="00DE185C" w:rsidTr="002E1FA2">
        <w:trPr>
          <w:trHeight w:val="300"/>
          <w:jc w:val="center"/>
        </w:trPr>
        <w:tc>
          <w:tcPr>
            <w:tcW w:w="4758" w:type="dxa"/>
            <w:shd w:val="clear" w:color="auto" w:fill="DAEEF3" w:themeFill="accent5" w:themeFillTint="33"/>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Focus on: Biofuels</w:t>
            </w:r>
          </w:p>
        </w:tc>
        <w:tc>
          <w:tcPr>
            <w:tcW w:w="2718" w:type="dxa"/>
            <w:shd w:val="clear" w:color="auto" w:fill="DAEEF3" w:themeFill="accent5" w:themeFillTint="33"/>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50</w:t>
            </w:r>
          </w:p>
        </w:tc>
      </w:tr>
      <w:tr w:rsidR="00524127" w:rsidRPr="00DE185C" w:rsidTr="002E1FA2">
        <w:trPr>
          <w:trHeight w:val="300"/>
          <w:jc w:val="center"/>
        </w:trPr>
        <w:tc>
          <w:tcPr>
            <w:tcW w:w="4758"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Moving Goods and People In and Throughout the Region</w:t>
            </w:r>
          </w:p>
        </w:tc>
        <w:tc>
          <w:tcPr>
            <w:tcW w:w="2718" w:type="dxa"/>
            <w:shd w:val="clear" w:color="auto" w:fill="B6DDE8" w:themeFill="accent5" w:themeFillTint="66"/>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45</w:t>
            </w:r>
          </w:p>
        </w:tc>
      </w:tr>
      <w:tr w:rsidR="00524127" w:rsidRPr="00DE185C" w:rsidTr="002E1FA2">
        <w:trPr>
          <w:trHeight w:val="300"/>
          <w:jc w:val="center"/>
        </w:trPr>
        <w:tc>
          <w:tcPr>
            <w:tcW w:w="4758" w:type="dxa"/>
            <w:shd w:val="clear" w:color="auto" w:fill="DAEEF3" w:themeFill="accent5" w:themeFillTint="33"/>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Focus on: Propane</w:t>
            </w:r>
          </w:p>
        </w:tc>
        <w:tc>
          <w:tcPr>
            <w:tcW w:w="2718" w:type="dxa"/>
            <w:shd w:val="clear" w:color="auto" w:fill="DAEEF3" w:themeFill="accent5" w:themeFillTint="33"/>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30</w:t>
            </w:r>
          </w:p>
        </w:tc>
      </w:tr>
      <w:tr w:rsidR="00524127" w:rsidRPr="00DE185C" w:rsidTr="002E1FA2">
        <w:trPr>
          <w:trHeight w:val="300"/>
          <w:jc w:val="center"/>
        </w:trPr>
        <w:tc>
          <w:tcPr>
            <w:tcW w:w="4758"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Focus on: Plug-in Electric Vehicles</w:t>
            </w:r>
          </w:p>
        </w:tc>
        <w:tc>
          <w:tcPr>
            <w:tcW w:w="2718" w:type="dxa"/>
            <w:shd w:val="clear" w:color="auto" w:fill="B6DDE8" w:themeFill="accent5" w:themeFillTint="66"/>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67</w:t>
            </w:r>
          </w:p>
        </w:tc>
      </w:tr>
      <w:tr w:rsidR="00524127" w:rsidRPr="00DE185C" w:rsidTr="002E1FA2">
        <w:trPr>
          <w:trHeight w:val="300"/>
          <w:jc w:val="center"/>
        </w:trPr>
        <w:tc>
          <w:tcPr>
            <w:tcW w:w="4758" w:type="dxa"/>
            <w:shd w:val="clear" w:color="auto" w:fill="DAEEF3" w:themeFill="accent5" w:themeFillTint="33"/>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 xml:space="preserve">Plug-in Electric Vehicle Dealer Workshop </w:t>
            </w:r>
          </w:p>
        </w:tc>
        <w:tc>
          <w:tcPr>
            <w:tcW w:w="2718" w:type="dxa"/>
            <w:shd w:val="clear" w:color="auto" w:fill="DAEEF3" w:themeFill="accent5" w:themeFillTint="33"/>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17</w:t>
            </w:r>
          </w:p>
        </w:tc>
      </w:tr>
      <w:tr w:rsidR="00524127" w:rsidRPr="00DE185C" w:rsidTr="002E1FA2">
        <w:trPr>
          <w:trHeight w:val="300"/>
          <w:jc w:val="center"/>
        </w:trPr>
        <w:tc>
          <w:tcPr>
            <w:tcW w:w="4758"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Focus on: Natural Gas</w:t>
            </w:r>
          </w:p>
        </w:tc>
        <w:tc>
          <w:tcPr>
            <w:tcW w:w="2718" w:type="dxa"/>
            <w:shd w:val="clear" w:color="auto" w:fill="B6DDE8" w:themeFill="accent5" w:themeFillTint="66"/>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13</w:t>
            </w:r>
          </w:p>
        </w:tc>
      </w:tr>
      <w:tr w:rsidR="002E1FA2" w:rsidRPr="00DE185C" w:rsidTr="002E1FA2">
        <w:trPr>
          <w:trHeight w:val="315"/>
          <w:jc w:val="center"/>
        </w:trPr>
        <w:tc>
          <w:tcPr>
            <w:tcW w:w="4758" w:type="dxa"/>
            <w:shd w:val="clear" w:color="auto" w:fill="4F81BD" w:themeFill="accent1"/>
            <w:noWrap/>
            <w:vAlign w:val="bottom"/>
            <w:hideMark/>
          </w:tcPr>
          <w:p w:rsidR="00524127" w:rsidRPr="00DE185C" w:rsidRDefault="00524127" w:rsidP="002E1FA2">
            <w:pPr>
              <w:spacing w:after="0" w:line="240" w:lineRule="auto"/>
              <w:rPr>
                <w:rFonts w:ascii="Calibri" w:eastAsia="Times New Roman" w:hAnsi="Calibri" w:cs="Times New Roman"/>
                <w:b/>
                <w:bCs/>
                <w:color w:val="FFFFFF" w:themeColor="background1"/>
              </w:rPr>
            </w:pPr>
            <w:r w:rsidRPr="00DE185C">
              <w:rPr>
                <w:rFonts w:ascii="Calibri" w:eastAsia="Times New Roman" w:hAnsi="Calibri" w:cs="Times New Roman"/>
                <w:b/>
                <w:bCs/>
                <w:color w:val="FFFFFF" w:themeColor="background1"/>
              </w:rPr>
              <w:t>2012</w:t>
            </w:r>
          </w:p>
        </w:tc>
        <w:tc>
          <w:tcPr>
            <w:tcW w:w="2718" w:type="dxa"/>
            <w:shd w:val="clear" w:color="auto" w:fill="4F81BD" w:themeFill="accent1"/>
          </w:tcPr>
          <w:p w:rsidR="00524127" w:rsidRPr="00DE185C" w:rsidRDefault="00524127" w:rsidP="002E1FA2">
            <w:pPr>
              <w:spacing w:after="0" w:line="240" w:lineRule="auto"/>
              <w:rPr>
                <w:rFonts w:ascii="Calibri" w:eastAsia="Times New Roman" w:hAnsi="Calibri" w:cs="Times New Roman"/>
                <w:b/>
                <w:bCs/>
                <w:color w:val="FFFFFF" w:themeColor="background1"/>
                <w:sz w:val="24"/>
                <w:szCs w:val="24"/>
              </w:rPr>
            </w:pPr>
          </w:p>
        </w:tc>
      </w:tr>
      <w:tr w:rsidR="00524127" w:rsidRPr="00DE185C" w:rsidTr="002E1FA2">
        <w:trPr>
          <w:trHeight w:val="300"/>
          <w:jc w:val="center"/>
        </w:trPr>
        <w:tc>
          <w:tcPr>
            <w:tcW w:w="4758" w:type="dxa"/>
            <w:shd w:val="clear" w:color="auto" w:fill="B6DDE8" w:themeFill="accent5" w:themeFillTint="66"/>
            <w:noWrap/>
            <w:vAlign w:val="bottom"/>
            <w:hideMark/>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Odyssey Day</w:t>
            </w:r>
          </w:p>
        </w:tc>
        <w:tc>
          <w:tcPr>
            <w:tcW w:w="2718" w:type="dxa"/>
            <w:shd w:val="clear" w:color="auto" w:fill="B6DDE8" w:themeFill="accent5" w:themeFillTint="66"/>
          </w:tcPr>
          <w:p w:rsidR="00524127" w:rsidRPr="00DE185C" w:rsidRDefault="00524127" w:rsidP="002E1FA2">
            <w:pPr>
              <w:spacing w:after="0" w:line="240" w:lineRule="auto"/>
              <w:rPr>
                <w:rFonts w:ascii="Calibri" w:eastAsia="Times New Roman" w:hAnsi="Calibri" w:cs="Times New Roman"/>
                <w:color w:val="000000"/>
              </w:rPr>
            </w:pPr>
            <w:r w:rsidRPr="00DE185C">
              <w:rPr>
                <w:rFonts w:ascii="Calibri" w:eastAsia="Times New Roman" w:hAnsi="Calibri" w:cs="Times New Roman"/>
                <w:color w:val="000000"/>
              </w:rPr>
              <w:t>70</w:t>
            </w:r>
          </w:p>
        </w:tc>
      </w:tr>
    </w:tbl>
    <w:p w:rsidR="00524127" w:rsidRPr="00DE185C" w:rsidRDefault="00524127" w:rsidP="00524127">
      <w:pPr>
        <w:rPr>
          <w:rFonts w:ascii="Calibri" w:hAnsi="Calibri"/>
        </w:rPr>
      </w:pPr>
    </w:p>
    <w:p w:rsidR="00524127" w:rsidRPr="00DE185C" w:rsidRDefault="00524127" w:rsidP="00524127">
      <w:pPr>
        <w:rPr>
          <w:rFonts w:ascii="Calibri" w:hAnsi="Calibri"/>
        </w:rPr>
      </w:pPr>
      <w:r w:rsidRPr="00DE185C">
        <w:rPr>
          <w:rFonts w:ascii="Calibri" w:hAnsi="Calibri"/>
        </w:rPr>
        <w:t xml:space="preserve">Another critical </w:t>
      </w:r>
      <w:r w:rsidR="00A53BC0" w:rsidRPr="00DE185C">
        <w:rPr>
          <w:rFonts w:ascii="Calibri" w:hAnsi="Calibri"/>
        </w:rPr>
        <w:t xml:space="preserve">component </w:t>
      </w:r>
      <w:r w:rsidRPr="00DE185C">
        <w:rPr>
          <w:rFonts w:ascii="Calibri" w:hAnsi="Calibri"/>
        </w:rPr>
        <w:t xml:space="preserve">for increasing alternative fuel vehicle awareness is </w:t>
      </w:r>
      <w:r w:rsidR="00A53BC0" w:rsidRPr="00DE185C">
        <w:rPr>
          <w:rFonts w:ascii="Calibri" w:hAnsi="Calibri"/>
        </w:rPr>
        <w:t xml:space="preserve">through </w:t>
      </w:r>
      <w:r w:rsidR="00A11B13">
        <w:rPr>
          <w:rFonts w:ascii="Calibri" w:hAnsi="Calibri"/>
        </w:rPr>
        <w:t xml:space="preserve">car </w:t>
      </w:r>
      <w:r w:rsidR="005828B6" w:rsidRPr="00DE185C">
        <w:rPr>
          <w:rFonts w:ascii="Calibri" w:hAnsi="Calibri"/>
        </w:rPr>
        <w:t>dealer</w:t>
      </w:r>
      <w:r w:rsidR="00E428F7" w:rsidRPr="00DE185C">
        <w:rPr>
          <w:rFonts w:ascii="Calibri" w:hAnsi="Calibri"/>
        </w:rPr>
        <w:t>ship</w:t>
      </w:r>
      <w:r w:rsidR="005828B6" w:rsidRPr="00DE185C">
        <w:rPr>
          <w:rFonts w:ascii="Calibri" w:hAnsi="Calibri"/>
        </w:rPr>
        <w:t xml:space="preserve"> education</w:t>
      </w:r>
      <w:r w:rsidR="00D94C3E" w:rsidRPr="00DE185C">
        <w:rPr>
          <w:rFonts w:ascii="Calibri" w:hAnsi="Calibri"/>
        </w:rPr>
        <w:t>. Dealers, who often influence</w:t>
      </w:r>
      <w:r w:rsidRPr="00DE185C">
        <w:rPr>
          <w:rFonts w:ascii="Calibri" w:hAnsi="Calibri"/>
        </w:rPr>
        <w:t xml:space="preserve"> vehicle purchase</w:t>
      </w:r>
      <w:r w:rsidR="00D94C3E" w:rsidRPr="00DE185C">
        <w:rPr>
          <w:rFonts w:ascii="Calibri" w:hAnsi="Calibri"/>
        </w:rPr>
        <w:t>s</w:t>
      </w:r>
      <w:r w:rsidRPr="00DE185C">
        <w:rPr>
          <w:rFonts w:ascii="Calibri" w:hAnsi="Calibri"/>
        </w:rPr>
        <w:t xml:space="preserve">, </w:t>
      </w:r>
      <w:r w:rsidR="00A11B13">
        <w:rPr>
          <w:rFonts w:ascii="Calibri" w:hAnsi="Calibri"/>
        </w:rPr>
        <w:t xml:space="preserve">do not necessarily know details about alternative fuel vehicles offered by their OEM. If dealers are </w:t>
      </w:r>
      <w:r w:rsidRPr="00DE185C">
        <w:rPr>
          <w:rFonts w:ascii="Calibri" w:hAnsi="Calibri"/>
        </w:rPr>
        <w:t xml:space="preserve">armed with information to better </w:t>
      </w:r>
      <w:r w:rsidR="00A11B13">
        <w:rPr>
          <w:rFonts w:ascii="Calibri" w:hAnsi="Calibri"/>
        </w:rPr>
        <w:t xml:space="preserve">understand and </w:t>
      </w:r>
      <w:r w:rsidRPr="00DE185C">
        <w:rPr>
          <w:rFonts w:ascii="Calibri" w:hAnsi="Calibri"/>
        </w:rPr>
        <w:t xml:space="preserve">communicate </w:t>
      </w:r>
      <w:r w:rsidR="00E428F7" w:rsidRPr="00DE185C">
        <w:rPr>
          <w:rFonts w:ascii="Calibri" w:hAnsi="Calibri"/>
        </w:rPr>
        <w:t xml:space="preserve">with </w:t>
      </w:r>
      <w:r w:rsidRPr="00DE185C">
        <w:rPr>
          <w:rFonts w:ascii="Calibri" w:hAnsi="Calibri"/>
        </w:rPr>
        <w:t>consumers about</w:t>
      </w:r>
      <w:r w:rsidR="00A11B13">
        <w:rPr>
          <w:rFonts w:ascii="Calibri" w:hAnsi="Calibri"/>
        </w:rPr>
        <w:t xml:space="preserve"> clean air vehicles, the region can be better served</w:t>
      </w:r>
      <w:r w:rsidRPr="00DE185C">
        <w:rPr>
          <w:rFonts w:ascii="Calibri" w:hAnsi="Calibri"/>
        </w:rPr>
        <w:t>.</w:t>
      </w:r>
      <w:r w:rsidR="009426DA">
        <w:rPr>
          <w:rFonts w:ascii="Calibri" w:hAnsi="Calibri"/>
        </w:rPr>
        <w:t xml:space="preserve"> </w:t>
      </w:r>
    </w:p>
    <w:p w:rsidR="00524127" w:rsidRPr="00DE185C" w:rsidRDefault="007E5448" w:rsidP="00524127">
      <w:pPr>
        <w:rPr>
          <w:rFonts w:ascii="Calibri" w:hAnsi="Calibri"/>
        </w:rPr>
      </w:pPr>
      <w:r w:rsidRPr="00DE185C">
        <w:rPr>
          <w:rFonts w:ascii="Calibri" w:hAnsi="Calibri"/>
        </w:rPr>
        <w:t>CSE</w:t>
      </w:r>
      <w:r w:rsidR="00524127" w:rsidRPr="00DE185C">
        <w:rPr>
          <w:rFonts w:ascii="Calibri" w:hAnsi="Calibri"/>
        </w:rPr>
        <w:t xml:space="preserve"> conducts quarterly webinars about the CVRP to dealers. The webinars cover program updates, basics about the CVRP, how to apply for a rebate, and other incentives available for consumers. This helps dealers who have CVRP-eligible vehicles stay up-to-date about the incentive program and </w:t>
      </w:r>
      <w:r w:rsidRPr="00DE185C">
        <w:rPr>
          <w:rFonts w:ascii="Calibri" w:hAnsi="Calibri"/>
        </w:rPr>
        <w:t xml:space="preserve">helps </w:t>
      </w:r>
      <w:r w:rsidR="00524127" w:rsidRPr="00DE185C">
        <w:rPr>
          <w:rFonts w:ascii="Calibri" w:hAnsi="Calibri"/>
        </w:rPr>
        <w:t xml:space="preserve">prevent misinformation </w:t>
      </w:r>
      <w:r w:rsidRPr="00DE185C">
        <w:rPr>
          <w:rFonts w:ascii="Calibri" w:hAnsi="Calibri"/>
        </w:rPr>
        <w:t>from being relayed</w:t>
      </w:r>
      <w:r w:rsidR="00524127" w:rsidRPr="00DE185C">
        <w:rPr>
          <w:rFonts w:ascii="Calibri" w:hAnsi="Calibri"/>
        </w:rPr>
        <w:t xml:space="preserve">. </w:t>
      </w:r>
      <w:r w:rsidR="00765E25">
        <w:rPr>
          <w:rFonts w:ascii="Calibri" w:hAnsi="Calibri"/>
        </w:rPr>
        <w:t>SDG&amp;E has also presented to the local new car dealership association on electric vehicle options, electric rates</w:t>
      </w:r>
      <w:r w:rsidR="00E37A69">
        <w:rPr>
          <w:rFonts w:ascii="Calibri" w:hAnsi="Calibri"/>
        </w:rPr>
        <w:t>,</w:t>
      </w:r>
      <w:r w:rsidR="00765E25">
        <w:rPr>
          <w:rFonts w:ascii="Calibri" w:hAnsi="Calibri"/>
        </w:rPr>
        <w:t xml:space="preserve"> and other relevant information.</w:t>
      </w:r>
    </w:p>
    <w:p w:rsidR="00841E0C" w:rsidRPr="00DE185C" w:rsidRDefault="00524127" w:rsidP="00524127">
      <w:pPr>
        <w:rPr>
          <w:rFonts w:ascii="Calibri" w:hAnsi="Calibri"/>
        </w:rPr>
      </w:pPr>
      <w:r w:rsidRPr="00DE185C">
        <w:rPr>
          <w:rFonts w:ascii="Calibri" w:hAnsi="Calibri"/>
        </w:rPr>
        <w:t xml:space="preserve">SDRCCC </w:t>
      </w:r>
      <w:r w:rsidR="00511B2A" w:rsidRPr="00DE185C">
        <w:rPr>
          <w:rFonts w:ascii="Calibri" w:hAnsi="Calibri"/>
        </w:rPr>
        <w:t xml:space="preserve">also </w:t>
      </w:r>
      <w:r w:rsidRPr="00DE185C">
        <w:rPr>
          <w:rFonts w:ascii="Calibri" w:hAnsi="Calibri"/>
        </w:rPr>
        <w:t>has contributed to</w:t>
      </w:r>
      <w:r w:rsidR="00511B2A" w:rsidRPr="00DE185C">
        <w:rPr>
          <w:rFonts w:ascii="Calibri" w:hAnsi="Calibri"/>
        </w:rPr>
        <w:t>wards</w:t>
      </w:r>
      <w:r w:rsidRPr="00DE185C">
        <w:rPr>
          <w:rFonts w:ascii="Calibri" w:hAnsi="Calibri"/>
        </w:rPr>
        <w:t xml:space="preserve"> increasing </w:t>
      </w:r>
      <w:r w:rsidR="00511B2A" w:rsidRPr="00DE185C">
        <w:rPr>
          <w:rFonts w:ascii="Calibri" w:hAnsi="Calibri"/>
        </w:rPr>
        <w:t xml:space="preserve">local </w:t>
      </w:r>
      <w:r w:rsidRPr="00DE185C">
        <w:rPr>
          <w:rFonts w:ascii="Calibri" w:hAnsi="Calibri"/>
        </w:rPr>
        <w:t xml:space="preserve">dealers’ knowledge of alternative fuel vehicles. In 2014, SDRCCC developed two sets of marketing material: a brochure about PEVs and a flier about flex fuel. In just three months, 850 flex fuel fliers and 3,260 dealer brochures were distributed. Additionally, SDRCCC has worked with biofuel companies in the region to </w:t>
      </w:r>
      <w:r w:rsidR="0081068A" w:rsidRPr="00DE185C">
        <w:rPr>
          <w:rFonts w:ascii="Calibri" w:hAnsi="Calibri"/>
        </w:rPr>
        <w:t xml:space="preserve">help </w:t>
      </w:r>
      <w:r w:rsidRPr="00DE185C">
        <w:rPr>
          <w:rFonts w:ascii="Calibri" w:hAnsi="Calibri"/>
        </w:rPr>
        <w:t xml:space="preserve">promote general awareness of biofuel </w:t>
      </w:r>
      <w:r w:rsidR="0081068A" w:rsidRPr="00DE185C">
        <w:rPr>
          <w:rFonts w:ascii="Calibri" w:hAnsi="Calibri"/>
        </w:rPr>
        <w:t xml:space="preserve">and the </w:t>
      </w:r>
      <w:r w:rsidRPr="00DE185C">
        <w:rPr>
          <w:rFonts w:ascii="Calibri" w:hAnsi="Calibri"/>
        </w:rPr>
        <w:t xml:space="preserve">location of </w:t>
      </w:r>
      <w:r w:rsidR="0081068A" w:rsidRPr="00DE185C">
        <w:rPr>
          <w:rFonts w:ascii="Calibri" w:hAnsi="Calibri"/>
        </w:rPr>
        <w:t xml:space="preserve">local </w:t>
      </w:r>
      <w:r w:rsidRPr="00DE185C">
        <w:rPr>
          <w:rFonts w:ascii="Calibri" w:hAnsi="Calibri"/>
        </w:rPr>
        <w:t xml:space="preserve">biofuel stations. </w:t>
      </w:r>
    </w:p>
    <w:p w:rsidR="00524127" w:rsidRPr="00DE185C" w:rsidRDefault="00841E0C" w:rsidP="00524127">
      <w:pPr>
        <w:pStyle w:val="Heading1"/>
        <w:rPr>
          <w:rFonts w:ascii="Calibri" w:hAnsi="Calibri"/>
        </w:rPr>
      </w:pPr>
      <w:bookmarkStart w:id="90" w:name="_Toc410636715"/>
      <w:bookmarkStart w:id="91" w:name="_Toc416259265"/>
      <w:r w:rsidRPr="00DE185C">
        <w:rPr>
          <w:rFonts w:ascii="Calibri" w:hAnsi="Calibri"/>
        </w:rPr>
        <w:t xml:space="preserve">12. </w:t>
      </w:r>
      <w:r w:rsidR="00524127" w:rsidRPr="00DE185C">
        <w:rPr>
          <w:rFonts w:ascii="Calibri" w:hAnsi="Calibri"/>
        </w:rPr>
        <w:t>Data Limitations</w:t>
      </w:r>
      <w:bookmarkEnd w:id="90"/>
      <w:bookmarkEnd w:id="91"/>
      <w:r w:rsidR="00524127" w:rsidRPr="00DE185C">
        <w:rPr>
          <w:rFonts w:ascii="Calibri" w:hAnsi="Calibri"/>
        </w:rPr>
        <w:t xml:space="preserve"> </w:t>
      </w:r>
    </w:p>
    <w:p w:rsidR="00524127" w:rsidRPr="00DE185C" w:rsidRDefault="00524127" w:rsidP="00524127">
      <w:pPr>
        <w:rPr>
          <w:rFonts w:ascii="Calibri" w:hAnsi="Calibri"/>
        </w:rPr>
      </w:pPr>
      <w:r w:rsidRPr="00DE185C">
        <w:rPr>
          <w:rFonts w:ascii="Calibri" w:hAnsi="Calibri"/>
        </w:rPr>
        <w:t xml:space="preserve">When compiling information for </w:t>
      </w:r>
      <w:r w:rsidR="000536AB" w:rsidRPr="00DE185C">
        <w:rPr>
          <w:rFonts w:ascii="Calibri" w:hAnsi="Calibri"/>
        </w:rPr>
        <w:t>the Assessment</w:t>
      </w:r>
      <w:r w:rsidRPr="00DE185C">
        <w:rPr>
          <w:rFonts w:ascii="Calibri" w:hAnsi="Calibri"/>
        </w:rPr>
        <w:t xml:space="preserve">, there was limited data </w:t>
      </w:r>
      <w:r w:rsidR="001E6C89" w:rsidRPr="00DE185C">
        <w:rPr>
          <w:rFonts w:ascii="Calibri" w:hAnsi="Calibri"/>
        </w:rPr>
        <w:t xml:space="preserve">available </w:t>
      </w:r>
      <w:r w:rsidRPr="00DE185C">
        <w:rPr>
          <w:rFonts w:ascii="Calibri" w:hAnsi="Calibri"/>
        </w:rPr>
        <w:t xml:space="preserve">about alternative fuel vehicles in the State and, to a greater extent, the San Diego region. The </w:t>
      </w:r>
      <w:r w:rsidR="00FA1FEC">
        <w:rPr>
          <w:rFonts w:ascii="Calibri" w:hAnsi="Calibri"/>
        </w:rPr>
        <w:t>California Air Resources Board</w:t>
      </w:r>
      <w:r w:rsidRPr="00DE185C">
        <w:rPr>
          <w:rFonts w:ascii="Calibri" w:hAnsi="Calibri"/>
        </w:rPr>
        <w:t xml:space="preserve"> provides useful tools such as the </w:t>
      </w:r>
      <w:r w:rsidR="001A6059" w:rsidRPr="00DE185C">
        <w:rPr>
          <w:rFonts w:ascii="Calibri" w:hAnsi="Calibri"/>
        </w:rPr>
        <w:t xml:space="preserve">On-Road Vehicle </w:t>
      </w:r>
      <w:r w:rsidR="003D1EE1" w:rsidRPr="00DE185C">
        <w:rPr>
          <w:rFonts w:ascii="Calibri" w:hAnsi="Calibri"/>
        </w:rPr>
        <w:t xml:space="preserve">Emissions </w:t>
      </w:r>
      <w:r w:rsidR="001A6059" w:rsidRPr="00DE185C">
        <w:rPr>
          <w:rFonts w:ascii="Calibri" w:hAnsi="Calibri"/>
        </w:rPr>
        <w:t>Factors</w:t>
      </w:r>
      <w:r w:rsidR="003D1EE1" w:rsidRPr="00DE185C">
        <w:rPr>
          <w:rFonts w:ascii="Calibri" w:hAnsi="Calibri"/>
        </w:rPr>
        <w:t xml:space="preserve"> Model (</w:t>
      </w:r>
      <w:r w:rsidRPr="00DE185C">
        <w:rPr>
          <w:rFonts w:ascii="Calibri" w:hAnsi="Calibri"/>
        </w:rPr>
        <w:t>EMFAC</w:t>
      </w:r>
      <w:r w:rsidR="003D1EE1" w:rsidRPr="00DE185C">
        <w:rPr>
          <w:rFonts w:ascii="Calibri" w:hAnsi="Calibri"/>
        </w:rPr>
        <w:t>)</w:t>
      </w:r>
      <w:r w:rsidRPr="00DE185C">
        <w:rPr>
          <w:rFonts w:ascii="Calibri" w:hAnsi="Calibri"/>
        </w:rPr>
        <w:t xml:space="preserve">, which was used several times in </w:t>
      </w:r>
      <w:r w:rsidR="001E6C89" w:rsidRPr="00DE185C">
        <w:rPr>
          <w:rFonts w:ascii="Calibri" w:hAnsi="Calibri"/>
        </w:rPr>
        <w:t xml:space="preserve">the development of </w:t>
      </w:r>
      <w:r w:rsidR="00456941" w:rsidRPr="00DE185C">
        <w:rPr>
          <w:rFonts w:ascii="Calibri" w:hAnsi="Calibri"/>
        </w:rPr>
        <w:t>the Assessment</w:t>
      </w:r>
      <w:r w:rsidRPr="00DE185C">
        <w:rPr>
          <w:rFonts w:ascii="Calibri" w:hAnsi="Calibri"/>
        </w:rPr>
        <w:t>; however, EMFAC does not capture any details about alternative fuel vehicles.</w:t>
      </w:r>
      <w:r w:rsidR="004157BF" w:rsidRPr="00DE185C">
        <w:rPr>
          <w:rStyle w:val="FootnoteReference"/>
          <w:rFonts w:ascii="Calibri" w:hAnsi="Calibri"/>
        </w:rPr>
        <w:footnoteReference w:id="33"/>
      </w:r>
      <w:r w:rsidRPr="00DE185C">
        <w:rPr>
          <w:rFonts w:ascii="Calibri" w:hAnsi="Calibri"/>
        </w:rPr>
        <w:t xml:space="preserve"> Energy Commission workshop presentations </w:t>
      </w:r>
      <w:r w:rsidR="00564AC1" w:rsidRPr="00DE185C">
        <w:rPr>
          <w:rFonts w:ascii="Calibri" w:hAnsi="Calibri"/>
        </w:rPr>
        <w:t xml:space="preserve">helped to </w:t>
      </w:r>
      <w:r w:rsidRPr="00DE185C">
        <w:rPr>
          <w:rFonts w:ascii="Calibri" w:hAnsi="Calibri"/>
        </w:rPr>
        <w:t xml:space="preserve">provide high-level information about the State’s progress towards various alternative fuel goals, but their raw data was inaccessible. </w:t>
      </w:r>
    </w:p>
    <w:p w:rsidR="00524127" w:rsidRPr="00DE185C" w:rsidRDefault="00F61109" w:rsidP="00524127">
      <w:pPr>
        <w:rPr>
          <w:rFonts w:ascii="Calibri" w:hAnsi="Calibri"/>
        </w:rPr>
      </w:pPr>
      <w:r>
        <w:rPr>
          <w:rFonts w:ascii="Calibri" w:hAnsi="Calibri"/>
        </w:rPr>
        <w:t>I</w:t>
      </w:r>
      <w:r w:rsidR="00564AC1" w:rsidRPr="00DE185C">
        <w:rPr>
          <w:rFonts w:ascii="Calibri" w:hAnsi="Calibri"/>
        </w:rPr>
        <w:t xml:space="preserve">t </w:t>
      </w:r>
      <w:r w:rsidR="00524127" w:rsidRPr="00DE185C">
        <w:rPr>
          <w:rFonts w:ascii="Calibri" w:hAnsi="Calibri"/>
        </w:rPr>
        <w:t xml:space="preserve">is difficult </w:t>
      </w:r>
      <w:r w:rsidR="00564AC1" w:rsidRPr="00DE185C">
        <w:rPr>
          <w:rFonts w:ascii="Calibri" w:hAnsi="Calibri"/>
        </w:rPr>
        <w:t xml:space="preserve">to </w:t>
      </w:r>
      <w:r w:rsidR="00524127" w:rsidRPr="00DE185C">
        <w:rPr>
          <w:rFonts w:ascii="Calibri" w:hAnsi="Calibri"/>
        </w:rPr>
        <w:t xml:space="preserve">find San Diego-specific data for alternative fuel vehicles. Most of the region’s vehicle inventories come from State tools, which </w:t>
      </w:r>
      <w:r w:rsidR="00564AC1" w:rsidRPr="00DE185C">
        <w:rPr>
          <w:rFonts w:ascii="Calibri" w:hAnsi="Calibri"/>
        </w:rPr>
        <w:t>can’t</w:t>
      </w:r>
      <w:r w:rsidR="00524127" w:rsidRPr="00DE185C">
        <w:rPr>
          <w:rFonts w:ascii="Calibri" w:hAnsi="Calibri"/>
        </w:rPr>
        <w:t xml:space="preserve"> provide precise information for a given region. </w:t>
      </w:r>
    </w:p>
    <w:p w:rsidR="00524127" w:rsidRDefault="00524127" w:rsidP="00524127">
      <w:pPr>
        <w:rPr>
          <w:rFonts w:ascii="Calibri" w:hAnsi="Calibri"/>
        </w:rPr>
      </w:pPr>
      <w:r w:rsidRPr="00DE185C">
        <w:rPr>
          <w:rFonts w:ascii="Calibri" w:hAnsi="Calibri"/>
        </w:rPr>
        <w:t xml:space="preserve">Third party resources such as Polk and </w:t>
      </w:r>
      <w:r w:rsidR="00DD120A" w:rsidRPr="00DE185C">
        <w:rPr>
          <w:rFonts w:ascii="Calibri" w:hAnsi="Calibri"/>
        </w:rPr>
        <w:t>Department of Motor Vehicle (</w:t>
      </w:r>
      <w:r w:rsidRPr="00DE185C">
        <w:rPr>
          <w:rFonts w:ascii="Calibri" w:hAnsi="Calibri"/>
        </w:rPr>
        <w:t>DMV</w:t>
      </w:r>
      <w:r w:rsidR="00DD120A" w:rsidRPr="00DE185C">
        <w:rPr>
          <w:rFonts w:ascii="Calibri" w:hAnsi="Calibri"/>
        </w:rPr>
        <w:t>)</w:t>
      </w:r>
      <w:r w:rsidRPr="00DE185C">
        <w:rPr>
          <w:rFonts w:ascii="Calibri" w:hAnsi="Calibri"/>
        </w:rPr>
        <w:t xml:space="preserve"> data </w:t>
      </w:r>
      <w:r w:rsidR="00277A3D" w:rsidRPr="00DE185C">
        <w:rPr>
          <w:rFonts w:ascii="Calibri" w:hAnsi="Calibri"/>
        </w:rPr>
        <w:t xml:space="preserve">are </w:t>
      </w:r>
      <w:r w:rsidRPr="00DE185C">
        <w:rPr>
          <w:rFonts w:ascii="Calibri" w:hAnsi="Calibri"/>
        </w:rPr>
        <w:t xml:space="preserve">also incomplete. </w:t>
      </w:r>
      <w:r w:rsidR="00277A3D" w:rsidRPr="00DE185C">
        <w:rPr>
          <w:rFonts w:ascii="Calibri" w:hAnsi="Calibri"/>
        </w:rPr>
        <w:t>DMV v</w:t>
      </w:r>
      <w:r w:rsidRPr="00DE185C">
        <w:rPr>
          <w:rFonts w:ascii="Calibri" w:hAnsi="Calibri"/>
        </w:rPr>
        <w:t>ehicle categorization often confuse</w:t>
      </w:r>
      <w:r w:rsidR="00277A3D" w:rsidRPr="00DE185C">
        <w:rPr>
          <w:rFonts w:ascii="Calibri" w:hAnsi="Calibri"/>
        </w:rPr>
        <w:t>s</w:t>
      </w:r>
      <w:r w:rsidRPr="00DE185C">
        <w:rPr>
          <w:rFonts w:ascii="Calibri" w:hAnsi="Calibri"/>
        </w:rPr>
        <w:t xml:space="preserve"> alternative fuel vehicles for its gasoline counterpart (for example, a Volkswagen e-Golf versus the Volkswagen Golf) and may lack the necessary detail to properly </w:t>
      </w:r>
      <w:r w:rsidR="00F9506A" w:rsidRPr="00DE185C">
        <w:rPr>
          <w:rFonts w:ascii="Calibri" w:hAnsi="Calibri"/>
        </w:rPr>
        <w:t>differentiate between the types</w:t>
      </w:r>
      <w:r w:rsidRPr="00DE185C">
        <w:rPr>
          <w:rFonts w:ascii="Calibri" w:hAnsi="Calibri"/>
        </w:rPr>
        <w:t xml:space="preserve">. Further, it has proven difficult to acquire historical data </w:t>
      </w:r>
      <w:r w:rsidR="00AF6E58" w:rsidRPr="00DE185C">
        <w:rPr>
          <w:rFonts w:ascii="Calibri" w:hAnsi="Calibri"/>
        </w:rPr>
        <w:t xml:space="preserve">making </w:t>
      </w:r>
      <w:r w:rsidRPr="00DE185C">
        <w:rPr>
          <w:rFonts w:ascii="Calibri" w:hAnsi="Calibri"/>
        </w:rPr>
        <w:t>infer</w:t>
      </w:r>
      <w:r w:rsidR="00AF6E58" w:rsidRPr="00DE185C">
        <w:rPr>
          <w:rFonts w:ascii="Calibri" w:hAnsi="Calibri"/>
        </w:rPr>
        <w:t>ences</w:t>
      </w:r>
      <w:r w:rsidRPr="00DE185C">
        <w:rPr>
          <w:rFonts w:ascii="Calibri" w:hAnsi="Calibri"/>
        </w:rPr>
        <w:t xml:space="preserve"> </w:t>
      </w:r>
      <w:r w:rsidR="00AF6E58" w:rsidRPr="00DE185C">
        <w:rPr>
          <w:rFonts w:ascii="Calibri" w:hAnsi="Calibri"/>
        </w:rPr>
        <w:t xml:space="preserve">about </w:t>
      </w:r>
      <w:r w:rsidRPr="00DE185C">
        <w:rPr>
          <w:rFonts w:ascii="Calibri" w:hAnsi="Calibri"/>
        </w:rPr>
        <w:t>long-term trends</w:t>
      </w:r>
      <w:r w:rsidR="00AF6E58" w:rsidRPr="00DE185C">
        <w:rPr>
          <w:rFonts w:ascii="Calibri" w:hAnsi="Calibri"/>
        </w:rPr>
        <w:t xml:space="preserve"> nearly impossible</w:t>
      </w:r>
      <w:r w:rsidRPr="00DE185C">
        <w:rPr>
          <w:rFonts w:ascii="Calibri" w:hAnsi="Calibri"/>
        </w:rPr>
        <w:t xml:space="preserve">. </w:t>
      </w:r>
    </w:p>
    <w:p w:rsidR="00F61109" w:rsidRPr="00DE185C" w:rsidRDefault="00F61109" w:rsidP="00524127">
      <w:pPr>
        <w:rPr>
          <w:rFonts w:ascii="Calibri" w:hAnsi="Calibri"/>
        </w:rPr>
      </w:pPr>
      <w:r>
        <w:rPr>
          <w:rFonts w:ascii="Calibri" w:hAnsi="Calibri"/>
        </w:rPr>
        <w:t>The CVRP has served as a proxy for actual PEV data, recognizing that not all PEV purchasers apply for a CVRP rebate for various reasons. Together with Polk, state agency data, SDRCC</w:t>
      </w:r>
      <w:r w:rsidR="00F803D9">
        <w:rPr>
          <w:rFonts w:ascii="Calibri" w:hAnsi="Calibri"/>
        </w:rPr>
        <w:t>C</w:t>
      </w:r>
      <w:r>
        <w:rPr>
          <w:rFonts w:ascii="Calibri" w:hAnsi="Calibri"/>
        </w:rPr>
        <w:t xml:space="preserve"> data, and surveys, these disparate information sources have been useful in combination to provide some level of regional alternative fuel vehicle data. Data remains an issue that the state could help to enhance.</w:t>
      </w:r>
    </w:p>
    <w:p w:rsidR="002E0474" w:rsidRPr="00DE185C" w:rsidRDefault="00841E0C" w:rsidP="002E0474">
      <w:pPr>
        <w:pStyle w:val="Heading1"/>
        <w:rPr>
          <w:rFonts w:ascii="Calibri" w:hAnsi="Calibri"/>
        </w:rPr>
      </w:pPr>
      <w:bookmarkStart w:id="92" w:name="_Toc416259266"/>
      <w:r w:rsidRPr="00DE185C">
        <w:rPr>
          <w:rFonts w:ascii="Calibri" w:hAnsi="Calibri"/>
        </w:rPr>
        <w:t xml:space="preserve">13. </w:t>
      </w:r>
      <w:r w:rsidR="002E0474" w:rsidRPr="00DE185C">
        <w:rPr>
          <w:rFonts w:ascii="Calibri" w:hAnsi="Calibri"/>
        </w:rPr>
        <w:t>Alternative Fuel Barriers</w:t>
      </w:r>
      <w:bookmarkEnd w:id="92"/>
      <w:r w:rsidR="002E0474" w:rsidRPr="00DE185C">
        <w:rPr>
          <w:rFonts w:ascii="Calibri" w:hAnsi="Calibri"/>
        </w:rPr>
        <w:t xml:space="preserve"> </w:t>
      </w:r>
    </w:p>
    <w:p w:rsidR="002E0474" w:rsidRPr="00DE185C" w:rsidRDefault="004E29B2" w:rsidP="002E0474">
      <w:pPr>
        <w:rPr>
          <w:rFonts w:ascii="Calibri" w:hAnsi="Calibri"/>
        </w:rPr>
      </w:pPr>
      <w:r w:rsidRPr="00DE185C">
        <w:rPr>
          <w:rFonts w:ascii="Calibri" w:hAnsi="Calibri"/>
        </w:rPr>
        <w:t>The Alternative Fuel B</w:t>
      </w:r>
      <w:r w:rsidR="002E0474" w:rsidRPr="00DE185C">
        <w:rPr>
          <w:rFonts w:ascii="Calibri" w:hAnsi="Calibri"/>
        </w:rPr>
        <w:t xml:space="preserve">arriers </w:t>
      </w:r>
      <w:r w:rsidRPr="00DE185C">
        <w:rPr>
          <w:rFonts w:ascii="Calibri" w:hAnsi="Calibri"/>
        </w:rPr>
        <w:t>T</w:t>
      </w:r>
      <w:r w:rsidR="008C52C1">
        <w:rPr>
          <w:rFonts w:ascii="Calibri" w:hAnsi="Calibri"/>
        </w:rPr>
        <w:t>able, found in Appendix B</w:t>
      </w:r>
      <w:r w:rsidR="002E0474" w:rsidRPr="00DE185C">
        <w:rPr>
          <w:rFonts w:ascii="Calibri" w:hAnsi="Calibri"/>
        </w:rPr>
        <w:t xml:space="preserve">, </w:t>
      </w:r>
      <w:r w:rsidR="004D0A87">
        <w:rPr>
          <w:rFonts w:ascii="Calibri" w:hAnsi="Calibri"/>
        </w:rPr>
        <w:t xml:space="preserve">details </w:t>
      </w:r>
      <w:r w:rsidR="002E0474" w:rsidRPr="00DE185C">
        <w:rPr>
          <w:rFonts w:ascii="Calibri" w:hAnsi="Calibri"/>
        </w:rPr>
        <w:t xml:space="preserve">the obstacles </w:t>
      </w:r>
      <w:r w:rsidR="00F803D9">
        <w:rPr>
          <w:rFonts w:ascii="Calibri" w:hAnsi="Calibri"/>
        </w:rPr>
        <w:t xml:space="preserve">identified by Refuel, </w:t>
      </w:r>
      <w:r w:rsidRPr="00DE185C">
        <w:rPr>
          <w:rFonts w:ascii="Calibri" w:hAnsi="Calibri"/>
        </w:rPr>
        <w:t>currently fac</w:t>
      </w:r>
      <w:r w:rsidR="002C20C8">
        <w:rPr>
          <w:rFonts w:ascii="Calibri" w:hAnsi="Calibri"/>
        </w:rPr>
        <w:t>ing</w:t>
      </w:r>
      <w:r w:rsidR="007B0AA1" w:rsidRPr="00DE185C">
        <w:rPr>
          <w:rFonts w:ascii="Calibri" w:hAnsi="Calibri"/>
        </w:rPr>
        <w:t xml:space="preserve"> </w:t>
      </w:r>
      <w:r w:rsidR="002C20C8">
        <w:rPr>
          <w:rFonts w:ascii="Calibri" w:hAnsi="Calibri"/>
        </w:rPr>
        <w:t xml:space="preserve">the San Diego region’s ability </w:t>
      </w:r>
      <w:r w:rsidR="007B0AA1" w:rsidRPr="00DE185C">
        <w:rPr>
          <w:rFonts w:ascii="Calibri" w:hAnsi="Calibri"/>
        </w:rPr>
        <w:t>to increase alternative fuel use</w:t>
      </w:r>
      <w:r w:rsidRPr="00DE185C">
        <w:rPr>
          <w:rFonts w:ascii="Calibri" w:hAnsi="Calibri"/>
        </w:rPr>
        <w:t>. In all, there are three general themes under which the barriers fall: education, infrastructure, and vehicle</w:t>
      </w:r>
      <w:r w:rsidR="00AA14B9">
        <w:rPr>
          <w:rFonts w:ascii="Calibri" w:hAnsi="Calibri"/>
        </w:rPr>
        <w:t>s</w:t>
      </w:r>
      <w:r w:rsidRPr="00DE185C">
        <w:rPr>
          <w:rFonts w:ascii="Calibri" w:hAnsi="Calibri"/>
        </w:rPr>
        <w:t xml:space="preserve">. </w:t>
      </w:r>
    </w:p>
    <w:p w:rsidR="004E29B2" w:rsidRPr="00DE185C" w:rsidRDefault="004E29B2" w:rsidP="002E0474">
      <w:pPr>
        <w:rPr>
          <w:rFonts w:ascii="Calibri" w:hAnsi="Calibri"/>
        </w:rPr>
      </w:pPr>
      <w:r w:rsidRPr="00DE185C">
        <w:rPr>
          <w:rFonts w:ascii="Calibri" w:hAnsi="Calibri"/>
        </w:rPr>
        <w:t xml:space="preserve">Education barriers detail </w:t>
      </w:r>
      <w:r w:rsidR="00AA14B9">
        <w:rPr>
          <w:rFonts w:ascii="Calibri" w:hAnsi="Calibri"/>
        </w:rPr>
        <w:t xml:space="preserve">lack of available information or </w:t>
      </w:r>
      <w:r w:rsidRPr="00DE185C">
        <w:rPr>
          <w:rFonts w:ascii="Calibri" w:hAnsi="Calibri"/>
        </w:rPr>
        <w:t xml:space="preserve">important alternative fuel </w:t>
      </w:r>
      <w:r w:rsidR="00AA14B9">
        <w:rPr>
          <w:rFonts w:ascii="Calibri" w:hAnsi="Calibri"/>
        </w:rPr>
        <w:t>resources available</w:t>
      </w:r>
      <w:r w:rsidRPr="00DE185C">
        <w:rPr>
          <w:rFonts w:ascii="Calibri" w:hAnsi="Calibri"/>
        </w:rPr>
        <w:t xml:space="preserve">. </w:t>
      </w:r>
      <w:r w:rsidR="00AA14B9">
        <w:rPr>
          <w:rFonts w:ascii="Calibri" w:hAnsi="Calibri"/>
        </w:rPr>
        <w:t>T</w:t>
      </w:r>
      <w:r w:rsidRPr="00DE185C">
        <w:rPr>
          <w:rFonts w:ascii="Calibri" w:hAnsi="Calibri"/>
        </w:rPr>
        <w:t xml:space="preserve">he barriers address the need for more training and education for municipal staff, emergency personnel and transportation fleet staff, and the general public. </w:t>
      </w:r>
    </w:p>
    <w:p w:rsidR="004E29B2" w:rsidRPr="00DE185C" w:rsidRDefault="004E29B2" w:rsidP="002E0474">
      <w:pPr>
        <w:rPr>
          <w:rFonts w:ascii="Calibri" w:hAnsi="Calibri"/>
        </w:rPr>
      </w:pPr>
      <w:r w:rsidRPr="00DE185C">
        <w:rPr>
          <w:rFonts w:ascii="Calibri" w:hAnsi="Calibri"/>
        </w:rPr>
        <w:t xml:space="preserve">Alternative fuel infrastructure barriers </w:t>
      </w:r>
      <w:r w:rsidR="009858CA" w:rsidRPr="00DE185C">
        <w:rPr>
          <w:rFonts w:ascii="Calibri" w:hAnsi="Calibri"/>
        </w:rPr>
        <w:t xml:space="preserve">detail obstacles that impede the further deployment and installation of alternative fuel infrastructure. </w:t>
      </w:r>
      <w:r w:rsidR="004D0A87">
        <w:rPr>
          <w:rFonts w:ascii="Calibri" w:hAnsi="Calibri"/>
        </w:rPr>
        <w:t>T</w:t>
      </w:r>
      <w:r w:rsidR="009858CA" w:rsidRPr="00DE185C">
        <w:rPr>
          <w:rFonts w:ascii="Calibri" w:hAnsi="Calibri"/>
        </w:rPr>
        <w:t>he</w:t>
      </w:r>
      <w:r w:rsidR="004D0A87">
        <w:rPr>
          <w:rFonts w:ascii="Calibri" w:hAnsi="Calibri"/>
        </w:rPr>
        <w:t>se</w:t>
      </w:r>
      <w:r w:rsidR="009858CA" w:rsidRPr="00DE185C">
        <w:rPr>
          <w:rFonts w:ascii="Calibri" w:hAnsi="Calibri"/>
        </w:rPr>
        <w:t xml:space="preserve"> barriers address codes and permitting, site assessments, outreach about public infrastructure, infrastructure costs, and EVSE at workplaces and </w:t>
      </w:r>
      <w:r w:rsidR="00692DD1">
        <w:rPr>
          <w:rFonts w:ascii="Calibri" w:hAnsi="Calibri"/>
        </w:rPr>
        <w:t>multi-unit dwellings (</w:t>
      </w:r>
      <w:proofErr w:type="spellStart"/>
      <w:r w:rsidR="009858CA" w:rsidRPr="00DE185C">
        <w:rPr>
          <w:rFonts w:ascii="Calibri" w:hAnsi="Calibri"/>
        </w:rPr>
        <w:t>MuDs</w:t>
      </w:r>
      <w:proofErr w:type="spellEnd"/>
      <w:r w:rsidR="00692DD1">
        <w:rPr>
          <w:rFonts w:ascii="Calibri" w:hAnsi="Calibri"/>
        </w:rPr>
        <w:t>)</w:t>
      </w:r>
      <w:r w:rsidR="009858CA" w:rsidRPr="00DE185C">
        <w:rPr>
          <w:rFonts w:ascii="Calibri" w:hAnsi="Calibri"/>
        </w:rPr>
        <w:t xml:space="preserve">. </w:t>
      </w:r>
    </w:p>
    <w:p w:rsidR="009858CA" w:rsidRPr="00DE185C" w:rsidRDefault="00BC6AEF" w:rsidP="002E0474">
      <w:pPr>
        <w:rPr>
          <w:rFonts w:ascii="Calibri" w:hAnsi="Calibri"/>
        </w:rPr>
      </w:pPr>
      <w:r>
        <w:rPr>
          <w:rFonts w:ascii="Calibri" w:hAnsi="Calibri"/>
        </w:rPr>
        <w:t>Lastly</w:t>
      </w:r>
      <w:r w:rsidR="009858CA" w:rsidRPr="00DE185C">
        <w:rPr>
          <w:rFonts w:ascii="Calibri" w:hAnsi="Calibri"/>
        </w:rPr>
        <w:t xml:space="preserve">, alternative fuel vehicle barriers detail obstacles that prevent the procurement of alternative fuel vehicles. </w:t>
      </w:r>
      <w:r w:rsidR="004D0A87">
        <w:rPr>
          <w:rFonts w:ascii="Calibri" w:hAnsi="Calibri"/>
        </w:rPr>
        <w:t>These</w:t>
      </w:r>
      <w:r w:rsidR="009858CA" w:rsidRPr="00DE185C">
        <w:rPr>
          <w:rFonts w:ascii="Calibri" w:hAnsi="Calibri"/>
        </w:rPr>
        <w:t xml:space="preserve"> barriers address how to select appropriate alternative fuel vehicles, financing vehicles, converting conventional vehicles to alternative fuels, and inhibitions about future alternative fuel technology. </w:t>
      </w:r>
    </w:p>
    <w:p w:rsidR="00E42432" w:rsidRPr="00DE185C" w:rsidRDefault="007B0AA1" w:rsidP="002E0474">
      <w:pPr>
        <w:rPr>
          <w:rFonts w:ascii="Calibri" w:hAnsi="Calibri"/>
        </w:rPr>
      </w:pPr>
      <w:r w:rsidRPr="00DE185C">
        <w:rPr>
          <w:rFonts w:ascii="Calibri" w:hAnsi="Calibri"/>
        </w:rPr>
        <w:t xml:space="preserve">Specific recommendations for </w:t>
      </w:r>
      <w:r w:rsidR="00BC6AEF">
        <w:rPr>
          <w:rFonts w:ascii="Calibri" w:hAnsi="Calibri"/>
        </w:rPr>
        <w:t xml:space="preserve">inclusion within </w:t>
      </w:r>
      <w:r w:rsidRPr="00DE185C">
        <w:rPr>
          <w:rFonts w:ascii="Calibri" w:hAnsi="Calibri"/>
        </w:rPr>
        <w:t xml:space="preserve">toolkits have been identified for each barrier. These recommendations </w:t>
      </w:r>
      <w:r w:rsidR="00194779" w:rsidRPr="00DE185C">
        <w:rPr>
          <w:rFonts w:ascii="Calibri" w:hAnsi="Calibri"/>
        </w:rPr>
        <w:t xml:space="preserve">incorporate lessons learned from public agency and fleet survey results as well as the conclusions from the </w:t>
      </w:r>
      <w:r w:rsidR="00E84A4E">
        <w:rPr>
          <w:rFonts w:ascii="Calibri" w:hAnsi="Calibri"/>
        </w:rPr>
        <w:t>Assessment</w:t>
      </w:r>
      <w:r w:rsidR="00194779" w:rsidRPr="00DE185C">
        <w:rPr>
          <w:rFonts w:ascii="Calibri" w:hAnsi="Calibri"/>
        </w:rPr>
        <w:t xml:space="preserve">. Further, the recommendations </w:t>
      </w:r>
      <w:r w:rsidRPr="00DE185C">
        <w:rPr>
          <w:rFonts w:ascii="Calibri" w:hAnsi="Calibri"/>
        </w:rPr>
        <w:t xml:space="preserve">seek to further arm the community with relevant information in order to encourage the </w:t>
      </w:r>
      <w:r w:rsidR="00194779" w:rsidRPr="00DE185C">
        <w:rPr>
          <w:rFonts w:ascii="Calibri" w:hAnsi="Calibri"/>
        </w:rPr>
        <w:t xml:space="preserve">San Diego regional </w:t>
      </w:r>
      <w:r w:rsidRPr="00DE185C">
        <w:rPr>
          <w:rFonts w:ascii="Calibri" w:hAnsi="Calibri"/>
        </w:rPr>
        <w:t xml:space="preserve">alternative fuel market forward. </w:t>
      </w:r>
    </w:p>
    <w:p w:rsidR="000C2556" w:rsidRPr="00DE185C" w:rsidRDefault="00841E0C" w:rsidP="009858CA">
      <w:pPr>
        <w:pStyle w:val="Heading1"/>
        <w:tabs>
          <w:tab w:val="left" w:pos="2595"/>
        </w:tabs>
        <w:rPr>
          <w:rFonts w:ascii="Calibri" w:hAnsi="Calibri"/>
        </w:rPr>
      </w:pPr>
      <w:bookmarkStart w:id="93" w:name="_Toc416259267"/>
      <w:r w:rsidRPr="00DE185C">
        <w:rPr>
          <w:rFonts w:ascii="Calibri" w:hAnsi="Calibri"/>
        </w:rPr>
        <w:t xml:space="preserve">14. </w:t>
      </w:r>
      <w:r w:rsidR="000C2556" w:rsidRPr="00DE185C">
        <w:rPr>
          <w:rFonts w:ascii="Calibri" w:hAnsi="Calibri"/>
        </w:rPr>
        <w:t>Conclusion</w:t>
      </w:r>
      <w:bookmarkEnd w:id="93"/>
    </w:p>
    <w:p w:rsidR="004D0A87" w:rsidRPr="00DE185C" w:rsidRDefault="004D0A87" w:rsidP="004D0A87">
      <w:pPr>
        <w:rPr>
          <w:rFonts w:ascii="Calibri" w:hAnsi="Calibri"/>
        </w:rPr>
      </w:pPr>
      <w:r w:rsidRPr="00DE185C">
        <w:rPr>
          <w:rFonts w:ascii="Calibri" w:hAnsi="Calibri"/>
        </w:rPr>
        <w:t xml:space="preserve">With the proper tools and support, the San Diego region can </w:t>
      </w:r>
      <w:r>
        <w:rPr>
          <w:rFonts w:ascii="Calibri" w:hAnsi="Calibri"/>
        </w:rPr>
        <w:t xml:space="preserve">serve </w:t>
      </w:r>
      <w:r w:rsidRPr="00DE185C">
        <w:rPr>
          <w:rFonts w:ascii="Calibri" w:hAnsi="Calibri"/>
        </w:rPr>
        <w:t xml:space="preserve">a diverse network of alternative fuel stations and vehicles. The region is well-primed to become a leader </w:t>
      </w:r>
      <w:r>
        <w:rPr>
          <w:rFonts w:ascii="Calibri" w:hAnsi="Calibri"/>
        </w:rPr>
        <w:t xml:space="preserve">across </w:t>
      </w:r>
      <w:r w:rsidRPr="00DE185C">
        <w:rPr>
          <w:rFonts w:ascii="Calibri" w:hAnsi="Calibri"/>
        </w:rPr>
        <w:t>alternative fuel</w:t>
      </w:r>
      <w:r>
        <w:rPr>
          <w:rFonts w:ascii="Calibri" w:hAnsi="Calibri"/>
        </w:rPr>
        <w:t>s and associated</w:t>
      </w:r>
      <w:r w:rsidRPr="00DE185C">
        <w:rPr>
          <w:rFonts w:ascii="Calibri" w:hAnsi="Calibri"/>
        </w:rPr>
        <w:t xml:space="preserve"> vehicle market</w:t>
      </w:r>
      <w:r>
        <w:rPr>
          <w:rFonts w:ascii="Calibri" w:hAnsi="Calibri"/>
        </w:rPr>
        <w:t>s</w:t>
      </w:r>
      <w:r w:rsidRPr="00DE185C">
        <w:rPr>
          <w:rFonts w:ascii="Calibri" w:hAnsi="Calibri"/>
        </w:rPr>
        <w:t>.</w:t>
      </w:r>
      <w:r>
        <w:rPr>
          <w:rFonts w:ascii="Calibri" w:hAnsi="Calibri"/>
        </w:rPr>
        <w:t xml:space="preserve"> </w:t>
      </w:r>
    </w:p>
    <w:p w:rsidR="003C5F9E" w:rsidRPr="00DE185C" w:rsidRDefault="004D0A87" w:rsidP="003C5F9E">
      <w:pPr>
        <w:rPr>
          <w:rFonts w:ascii="Calibri" w:hAnsi="Calibri"/>
        </w:rPr>
      </w:pPr>
      <w:r>
        <w:rPr>
          <w:rFonts w:ascii="Calibri" w:hAnsi="Calibri"/>
        </w:rPr>
        <w:t>A</w:t>
      </w:r>
      <w:r w:rsidR="003C5F9E" w:rsidRPr="00DE185C">
        <w:rPr>
          <w:rFonts w:ascii="Calibri" w:hAnsi="Calibri"/>
        </w:rPr>
        <w:t>lternative fuels can play a larger role in the San Diego region in support of local, state, and federal policies</w:t>
      </w:r>
      <w:r>
        <w:rPr>
          <w:rFonts w:ascii="Calibri" w:hAnsi="Calibri"/>
        </w:rPr>
        <w:t xml:space="preserve"> to reduce petroleum dependence, GHG emissions and other pollutants</w:t>
      </w:r>
      <w:r w:rsidR="003C5F9E" w:rsidRPr="00DE185C">
        <w:rPr>
          <w:rFonts w:ascii="Calibri" w:hAnsi="Calibri"/>
        </w:rPr>
        <w:t>. The biggest barrier</w:t>
      </w:r>
      <w:r w:rsidR="00B20AD4">
        <w:rPr>
          <w:rFonts w:ascii="Calibri" w:hAnsi="Calibri"/>
        </w:rPr>
        <w:t>s concern the</w:t>
      </w:r>
      <w:r w:rsidR="003C5F9E" w:rsidRPr="00DE185C">
        <w:rPr>
          <w:rFonts w:ascii="Calibri" w:hAnsi="Calibri"/>
        </w:rPr>
        <w:t xml:space="preserve"> lack of proper information and knowledge among the community regarding alternative fuels, </w:t>
      </w:r>
      <w:r w:rsidR="00B20AD4">
        <w:rPr>
          <w:rFonts w:ascii="Calibri" w:hAnsi="Calibri"/>
        </w:rPr>
        <w:t xml:space="preserve">the high cost of </w:t>
      </w:r>
      <w:r w:rsidR="003C5F9E" w:rsidRPr="00DE185C">
        <w:rPr>
          <w:rFonts w:ascii="Calibri" w:hAnsi="Calibri"/>
        </w:rPr>
        <w:t>vehicles, and</w:t>
      </w:r>
      <w:r w:rsidR="00B20AD4">
        <w:rPr>
          <w:rFonts w:ascii="Calibri" w:hAnsi="Calibri"/>
        </w:rPr>
        <w:t xml:space="preserve"> lack of refueling</w:t>
      </w:r>
      <w:r w:rsidR="003C5F9E" w:rsidRPr="00DE185C">
        <w:rPr>
          <w:rFonts w:ascii="Calibri" w:hAnsi="Calibri"/>
        </w:rPr>
        <w:t xml:space="preserve"> infrastructure. As a region, San Diego has become a leading electric vehicle market, boasting hundreds of public chargers and thousands of PEVs on the roads. </w:t>
      </w:r>
    </w:p>
    <w:p w:rsidR="003C5F9E" w:rsidRPr="00DE185C" w:rsidRDefault="003C5F9E" w:rsidP="003C5F9E">
      <w:pPr>
        <w:rPr>
          <w:rFonts w:ascii="Calibri" w:hAnsi="Calibri"/>
        </w:rPr>
      </w:pPr>
      <w:r w:rsidRPr="00DE185C">
        <w:rPr>
          <w:rFonts w:ascii="Calibri" w:hAnsi="Calibri"/>
        </w:rPr>
        <w:t xml:space="preserve">The region has become a PEV-friendly place due to </w:t>
      </w:r>
      <w:r w:rsidR="004D0A87">
        <w:rPr>
          <w:rFonts w:ascii="Calibri" w:hAnsi="Calibri"/>
        </w:rPr>
        <w:t xml:space="preserve">a combination of local engagement, </w:t>
      </w:r>
      <w:r w:rsidR="00B2497F">
        <w:rPr>
          <w:rFonts w:ascii="Calibri" w:hAnsi="Calibri"/>
        </w:rPr>
        <w:t>public-private partnerships, public funding</w:t>
      </w:r>
      <w:r w:rsidR="006112A1">
        <w:rPr>
          <w:rFonts w:ascii="Calibri" w:hAnsi="Calibri"/>
        </w:rPr>
        <w:t>,</w:t>
      </w:r>
      <w:r w:rsidR="00B2497F">
        <w:rPr>
          <w:rFonts w:ascii="Calibri" w:hAnsi="Calibri"/>
        </w:rPr>
        <w:t xml:space="preserve"> and </w:t>
      </w:r>
      <w:r w:rsidR="006112A1">
        <w:rPr>
          <w:rFonts w:ascii="Calibri" w:hAnsi="Calibri"/>
        </w:rPr>
        <w:t xml:space="preserve">a substantial population of </w:t>
      </w:r>
      <w:r w:rsidR="00B2497F">
        <w:rPr>
          <w:rFonts w:ascii="Calibri" w:hAnsi="Calibri"/>
        </w:rPr>
        <w:t>early adopters</w:t>
      </w:r>
      <w:r w:rsidR="006112A1">
        <w:rPr>
          <w:rFonts w:ascii="Calibri" w:hAnsi="Calibri"/>
        </w:rPr>
        <w:t>.</w:t>
      </w:r>
      <w:r w:rsidR="00B2497F">
        <w:rPr>
          <w:rFonts w:ascii="Calibri" w:hAnsi="Calibri"/>
        </w:rPr>
        <w:t xml:space="preserve"> </w:t>
      </w:r>
      <w:r w:rsidRPr="00DE185C">
        <w:rPr>
          <w:rFonts w:ascii="Calibri" w:hAnsi="Calibri"/>
        </w:rPr>
        <w:t>Some sectors already have high alternative fuel penetration, such as transit and refuse whe</w:t>
      </w:r>
      <w:r w:rsidR="00B2497F">
        <w:rPr>
          <w:rFonts w:ascii="Calibri" w:hAnsi="Calibri"/>
        </w:rPr>
        <w:t>re</w:t>
      </w:r>
      <w:r w:rsidRPr="00DE185C">
        <w:rPr>
          <w:rFonts w:ascii="Calibri" w:hAnsi="Calibri"/>
        </w:rPr>
        <w:t xml:space="preserve"> natural gas busses and trucks now represent the majority of vehicles</w:t>
      </w:r>
      <w:r w:rsidR="00B2497F">
        <w:rPr>
          <w:rFonts w:ascii="Calibri" w:hAnsi="Calibri"/>
        </w:rPr>
        <w:t>.</w:t>
      </w:r>
      <w:r w:rsidRPr="00DE185C">
        <w:rPr>
          <w:rFonts w:ascii="Calibri" w:hAnsi="Calibri"/>
        </w:rPr>
        <w:t xml:space="preserve"> </w:t>
      </w:r>
      <w:r w:rsidR="00B2497F">
        <w:rPr>
          <w:rFonts w:ascii="Calibri" w:hAnsi="Calibri"/>
        </w:rPr>
        <w:t>Private f</w:t>
      </w:r>
      <w:r w:rsidRPr="00DE185C">
        <w:rPr>
          <w:rFonts w:ascii="Calibri" w:hAnsi="Calibri"/>
        </w:rPr>
        <w:t xml:space="preserve">leets and local municipalities are knowledgeable about alternative fuels – as noted in the survey results, </w:t>
      </w:r>
      <w:r w:rsidR="00B2497F">
        <w:rPr>
          <w:rFonts w:ascii="Calibri" w:hAnsi="Calibri"/>
        </w:rPr>
        <w:t xml:space="preserve">and have interest in integrating alternative fuels into their fleets. </w:t>
      </w:r>
      <w:r w:rsidRPr="00DE185C">
        <w:rPr>
          <w:rFonts w:ascii="Calibri" w:hAnsi="Calibri"/>
        </w:rPr>
        <w:t xml:space="preserve">Through </w:t>
      </w:r>
      <w:r w:rsidR="00B2497F">
        <w:rPr>
          <w:rFonts w:ascii="Calibri" w:hAnsi="Calibri"/>
        </w:rPr>
        <w:t>sector</w:t>
      </w:r>
      <w:r w:rsidR="00C83FB8">
        <w:rPr>
          <w:rFonts w:ascii="Calibri" w:hAnsi="Calibri"/>
        </w:rPr>
        <w:t>-</w:t>
      </w:r>
      <w:r w:rsidR="00B2497F">
        <w:rPr>
          <w:rFonts w:ascii="Calibri" w:hAnsi="Calibri"/>
        </w:rPr>
        <w:t xml:space="preserve">specific </w:t>
      </w:r>
      <w:r w:rsidRPr="00DE185C">
        <w:rPr>
          <w:rFonts w:ascii="Calibri" w:hAnsi="Calibri"/>
        </w:rPr>
        <w:t xml:space="preserve">toolkits and the Alternative Fuel Readiness Plan, public agencies and fleets should be able to </w:t>
      </w:r>
      <w:r w:rsidR="00B2497F">
        <w:rPr>
          <w:rFonts w:ascii="Calibri" w:hAnsi="Calibri"/>
        </w:rPr>
        <w:t>accelerate the deployment of alternative fuel vehicles and infrastructure in the San Diego reg</w:t>
      </w:r>
      <w:r w:rsidR="00C83FB8">
        <w:rPr>
          <w:rFonts w:ascii="Calibri" w:hAnsi="Calibri"/>
        </w:rPr>
        <w:t>i</w:t>
      </w:r>
      <w:r w:rsidR="00B2497F">
        <w:rPr>
          <w:rFonts w:ascii="Calibri" w:hAnsi="Calibri"/>
        </w:rPr>
        <w:t>on.</w:t>
      </w:r>
      <w:r w:rsidR="009426DA">
        <w:rPr>
          <w:rFonts w:ascii="Calibri" w:hAnsi="Calibri"/>
        </w:rPr>
        <w:t xml:space="preserve"> </w:t>
      </w:r>
    </w:p>
    <w:p w:rsidR="003C5F9E" w:rsidRPr="00DE185C" w:rsidRDefault="003C5F9E" w:rsidP="003C5F9E">
      <w:pPr>
        <w:rPr>
          <w:rFonts w:ascii="Calibri" w:hAnsi="Calibri"/>
        </w:rPr>
      </w:pPr>
      <w:r w:rsidRPr="00DE185C">
        <w:rPr>
          <w:rFonts w:ascii="Calibri" w:hAnsi="Calibri"/>
        </w:rPr>
        <w:t xml:space="preserve">In response to the Assessment, Refuel should </w:t>
      </w:r>
      <w:r w:rsidR="00B2497F">
        <w:rPr>
          <w:rFonts w:ascii="Calibri" w:hAnsi="Calibri"/>
        </w:rPr>
        <w:t xml:space="preserve">consider the </w:t>
      </w:r>
      <w:r w:rsidRPr="00DE185C">
        <w:rPr>
          <w:rFonts w:ascii="Calibri" w:hAnsi="Calibri"/>
        </w:rPr>
        <w:t>develop</w:t>
      </w:r>
      <w:r w:rsidR="00B2497F">
        <w:rPr>
          <w:rFonts w:ascii="Calibri" w:hAnsi="Calibri"/>
        </w:rPr>
        <w:t>ment of</w:t>
      </w:r>
      <w:r w:rsidRPr="00DE185C">
        <w:rPr>
          <w:rFonts w:ascii="Calibri" w:hAnsi="Calibri"/>
        </w:rPr>
        <w:t xml:space="preserve"> the </w:t>
      </w:r>
      <w:r w:rsidR="00B2497F">
        <w:rPr>
          <w:rFonts w:ascii="Calibri" w:hAnsi="Calibri"/>
        </w:rPr>
        <w:t>readiness plan</w:t>
      </w:r>
      <w:r w:rsidRPr="00DE185C">
        <w:rPr>
          <w:rFonts w:ascii="Calibri" w:hAnsi="Calibri"/>
        </w:rPr>
        <w:t xml:space="preserve"> and toolkits </w:t>
      </w:r>
      <w:r w:rsidR="00B2497F">
        <w:rPr>
          <w:rFonts w:ascii="Calibri" w:hAnsi="Calibri"/>
        </w:rPr>
        <w:t>to</w:t>
      </w:r>
      <w:r w:rsidRPr="00DE185C">
        <w:rPr>
          <w:rFonts w:ascii="Calibri" w:hAnsi="Calibri"/>
        </w:rPr>
        <w:t xml:space="preserve"> accomplish the following:</w:t>
      </w:r>
      <w:r w:rsidR="009426DA">
        <w:rPr>
          <w:rFonts w:ascii="Calibri" w:hAnsi="Calibri"/>
        </w:rPr>
        <w:t xml:space="preserve"> </w:t>
      </w:r>
    </w:p>
    <w:p w:rsidR="003C5F9E" w:rsidRPr="00DE185C" w:rsidRDefault="003C5F9E" w:rsidP="003C5F9E">
      <w:pPr>
        <w:pStyle w:val="ListParagraph"/>
        <w:numPr>
          <w:ilvl w:val="0"/>
          <w:numId w:val="26"/>
        </w:numPr>
        <w:rPr>
          <w:rFonts w:ascii="Calibri" w:hAnsi="Calibri"/>
        </w:rPr>
      </w:pPr>
      <w:r w:rsidRPr="00DE185C">
        <w:rPr>
          <w:rFonts w:ascii="Calibri" w:hAnsi="Calibri"/>
        </w:rPr>
        <w:t>Allow consumers to better understand alternative fuel vehicles and provide a baseline understanding of alternative fuel vehicles useful to local governments;</w:t>
      </w:r>
    </w:p>
    <w:p w:rsidR="003C5F9E" w:rsidRPr="00DE185C" w:rsidRDefault="003C5F9E" w:rsidP="003C5F9E">
      <w:pPr>
        <w:pStyle w:val="ListParagraph"/>
        <w:numPr>
          <w:ilvl w:val="0"/>
          <w:numId w:val="26"/>
        </w:numPr>
        <w:rPr>
          <w:rFonts w:ascii="Calibri" w:hAnsi="Calibri"/>
        </w:rPr>
      </w:pPr>
      <w:r w:rsidRPr="00DE185C">
        <w:rPr>
          <w:rFonts w:ascii="Calibri" w:hAnsi="Calibri"/>
        </w:rPr>
        <w:t>Allow fleet managers and municipal staff to integrate alternative fuel vehicles and create/promote alternative fuel-friendly policies;</w:t>
      </w:r>
    </w:p>
    <w:p w:rsidR="003C5F9E" w:rsidRPr="00DE185C" w:rsidRDefault="003C5F9E" w:rsidP="003C5F9E">
      <w:pPr>
        <w:pStyle w:val="ListParagraph"/>
        <w:numPr>
          <w:ilvl w:val="0"/>
          <w:numId w:val="26"/>
        </w:numPr>
        <w:rPr>
          <w:rFonts w:ascii="Calibri" w:hAnsi="Calibri"/>
        </w:rPr>
      </w:pPr>
      <w:r w:rsidRPr="00DE185C">
        <w:rPr>
          <w:rFonts w:ascii="Calibri" w:hAnsi="Calibri"/>
        </w:rPr>
        <w:t>Train emergency personnel on how to handle alternative fuel vehicles and fleet staff on how to service alternative fuel vehicles;</w:t>
      </w:r>
    </w:p>
    <w:p w:rsidR="003C5F9E" w:rsidRPr="00DE185C" w:rsidRDefault="003C5F9E" w:rsidP="003C5F9E">
      <w:pPr>
        <w:pStyle w:val="ListParagraph"/>
        <w:numPr>
          <w:ilvl w:val="0"/>
          <w:numId w:val="26"/>
        </w:numPr>
        <w:rPr>
          <w:rFonts w:ascii="Calibri" w:hAnsi="Calibri"/>
        </w:rPr>
      </w:pPr>
      <w:r w:rsidRPr="00DE185C">
        <w:rPr>
          <w:rFonts w:ascii="Calibri" w:hAnsi="Calibri"/>
        </w:rPr>
        <w:t>Help alternative fuel users how to understand a PEV’s integration with the electricity grid;</w:t>
      </w:r>
    </w:p>
    <w:p w:rsidR="003C5F9E" w:rsidRPr="00DE185C" w:rsidRDefault="003C5F9E" w:rsidP="003C5F9E">
      <w:pPr>
        <w:pStyle w:val="ListParagraph"/>
        <w:numPr>
          <w:ilvl w:val="0"/>
          <w:numId w:val="26"/>
        </w:numPr>
        <w:rPr>
          <w:rFonts w:ascii="Calibri" w:hAnsi="Calibri"/>
        </w:rPr>
      </w:pPr>
      <w:r w:rsidRPr="00DE185C">
        <w:rPr>
          <w:rFonts w:ascii="Calibri" w:hAnsi="Calibri"/>
        </w:rPr>
        <w:t>Address common problems that frequently occur when alternative fuel stations are being installed;</w:t>
      </w:r>
    </w:p>
    <w:p w:rsidR="003C5F9E" w:rsidRPr="00DE185C" w:rsidRDefault="003C5F9E" w:rsidP="003C5F9E">
      <w:pPr>
        <w:pStyle w:val="ListParagraph"/>
        <w:numPr>
          <w:ilvl w:val="0"/>
          <w:numId w:val="26"/>
        </w:numPr>
        <w:rPr>
          <w:rFonts w:ascii="Calibri" w:hAnsi="Calibri"/>
        </w:rPr>
      </w:pPr>
      <w:r w:rsidRPr="00DE185C">
        <w:rPr>
          <w:rFonts w:ascii="Calibri" w:hAnsi="Calibri"/>
        </w:rPr>
        <w:t>Provide solutions and guidance for municipal staff on where to place fueling infrastructure;</w:t>
      </w:r>
    </w:p>
    <w:p w:rsidR="003C5F9E" w:rsidRPr="00DE185C" w:rsidRDefault="003C5F9E" w:rsidP="003C5F9E">
      <w:pPr>
        <w:pStyle w:val="ListParagraph"/>
        <w:numPr>
          <w:ilvl w:val="0"/>
          <w:numId w:val="26"/>
        </w:numPr>
        <w:rPr>
          <w:rFonts w:ascii="Calibri" w:hAnsi="Calibri"/>
        </w:rPr>
      </w:pPr>
      <w:r w:rsidRPr="00DE185C">
        <w:rPr>
          <w:rFonts w:ascii="Calibri" w:hAnsi="Calibri"/>
        </w:rPr>
        <w:t>Develop ways for fuel providers and local jurisdictions to increase awareness of public alternative fuel stations;</w:t>
      </w:r>
    </w:p>
    <w:p w:rsidR="003C5F9E" w:rsidRPr="00DE185C" w:rsidRDefault="003C5F9E" w:rsidP="003C5F9E">
      <w:pPr>
        <w:pStyle w:val="ListParagraph"/>
        <w:numPr>
          <w:ilvl w:val="0"/>
          <w:numId w:val="26"/>
        </w:numPr>
        <w:rPr>
          <w:rFonts w:ascii="Calibri" w:hAnsi="Calibri"/>
        </w:rPr>
      </w:pPr>
      <w:r w:rsidRPr="00DE185C">
        <w:rPr>
          <w:rFonts w:ascii="Calibri" w:hAnsi="Calibri"/>
        </w:rPr>
        <w:t>Increase awareness and solutions to charging PEVs at multi-unit dwellings and workplaces;</w:t>
      </w:r>
    </w:p>
    <w:p w:rsidR="003C5F9E" w:rsidRPr="00DE185C" w:rsidRDefault="003C5F9E" w:rsidP="003C5F9E">
      <w:pPr>
        <w:pStyle w:val="ListParagraph"/>
        <w:numPr>
          <w:ilvl w:val="0"/>
          <w:numId w:val="26"/>
        </w:numPr>
        <w:rPr>
          <w:rFonts w:ascii="Calibri" w:hAnsi="Calibri"/>
        </w:rPr>
      </w:pPr>
      <w:r w:rsidRPr="00DE185C">
        <w:rPr>
          <w:rFonts w:ascii="Calibri" w:hAnsi="Calibri"/>
        </w:rPr>
        <w:t>Provide public agencies and fleets with tools for evaluating and addressing infrastructure costs;</w:t>
      </w:r>
    </w:p>
    <w:p w:rsidR="003C5F9E" w:rsidRPr="00DE185C" w:rsidRDefault="003C5F9E" w:rsidP="003C5F9E">
      <w:pPr>
        <w:pStyle w:val="ListParagraph"/>
        <w:numPr>
          <w:ilvl w:val="0"/>
          <w:numId w:val="26"/>
        </w:numPr>
        <w:rPr>
          <w:rFonts w:ascii="Calibri" w:hAnsi="Calibri"/>
        </w:rPr>
      </w:pPr>
      <w:r w:rsidRPr="00DE185C">
        <w:rPr>
          <w:rFonts w:ascii="Calibri" w:hAnsi="Calibri"/>
        </w:rPr>
        <w:t>Help fleets choose appropriate alternative fuel vehicles for their fleets;</w:t>
      </w:r>
    </w:p>
    <w:p w:rsidR="003C5F9E" w:rsidRPr="00DE185C" w:rsidRDefault="003C5F9E" w:rsidP="003C5F9E">
      <w:pPr>
        <w:pStyle w:val="ListParagraph"/>
        <w:numPr>
          <w:ilvl w:val="0"/>
          <w:numId w:val="26"/>
        </w:numPr>
        <w:rPr>
          <w:rFonts w:ascii="Calibri" w:hAnsi="Calibri"/>
        </w:rPr>
      </w:pPr>
      <w:r w:rsidRPr="00DE185C">
        <w:rPr>
          <w:rFonts w:ascii="Calibri" w:hAnsi="Calibri"/>
        </w:rPr>
        <w:t>Provide guidance on procuring and financing alternative fuel vehicles;</w:t>
      </w:r>
    </w:p>
    <w:p w:rsidR="003C5F9E" w:rsidRPr="00DE185C" w:rsidRDefault="003C5F9E" w:rsidP="003C5F9E">
      <w:pPr>
        <w:pStyle w:val="ListParagraph"/>
        <w:numPr>
          <w:ilvl w:val="0"/>
          <w:numId w:val="26"/>
        </w:numPr>
        <w:rPr>
          <w:rFonts w:ascii="Calibri" w:hAnsi="Calibri"/>
        </w:rPr>
      </w:pPr>
      <w:r w:rsidRPr="00DE185C">
        <w:rPr>
          <w:rFonts w:ascii="Calibri" w:hAnsi="Calibri"/>
        </w:rPr>
        <w:t>Provide guidance on safely converting conventional vehicles to use alternative fuels;</w:t>
      </w:r>
    </w:p>
    <w:p w:rsidR="003C5F9E" w:rsidRPr="00DE185C" w:rsidRDefault="003C5F9E" w:rsidP="003C5F9E">
      <w:pPr>
        <w:pStyle w:val="ListParagraph"/>
        <w:numPr>
          <w:ilvl w:val="0"/>
          <w:numId w:val="26"/>
        </w:numPr>
        <w:rPr>
          <w:rFonts w:ascii="Calibri" w:hAnsi="Calibri"/>
        </w:rPr>
      </w:pPr>
      <w:r w:rsidRPr="00DE185C">
        <w:rPr>
          <w:rFonts w:ascii="Calibri" w:hAnsi="Calibri"/>
        </w:rPr>
        <w:t xml:space="preserve">Increase awareness of emerging fuels and technologies. </w:t>
      </w:r>
    </w:p>
    <w:p w:rsidR="00333493" w:rsidRPr="00DE185C" w:rsidRDefault="00333493" w:rsidP="00447CCF">
      <w:pPr>
        <w:rPr>
          <w:rFonts w:ascii="Calibri" w:hAnsi="Calibri"/>
        </w:rPr>
      </w:pPr>
    </w:p>
    <w:p w:rsidR="00333493" w:rsidRPr="00DE185C" w:rsidRDefault="00333493">
      <w:pPr>
        <w:rPr>
          <w:rFonts w:ascii="Calibri" w:hAnsi="Calibri"/>
        </w:rPr>
      </w:pPr>
      <w:r w:rsidRPr="00DE185C">
        <w:rPr>
          <w:rFonts w:ascii="Calibri" w:hAnsi="Calibri"/>
        </w:rPr>
        <w:br w:type="page"/>
      </w:r>
    </w:p>
    <w:p w:rsidR="00333493" w:rsidRPr="00DE185C" w:rsidRDefault="00333493" w:rsidP="005E6C1F">
      <w:pPr>
        <w:pStyle w:val="Heading1"/>
        <w:jc w:val="center"/>
        <w:rPr>
          <w:rFonts w:ascii="Calibri" w:hAnsi="Calibri"/>
        </w:rPr>
      </w:pPr>
      <w:bookmarkStart w:id="94" w:name="_Toc416259268"/>
      <w:r w:rsidRPr="00DE185C">
        <w:rPr>
          <w:rFonts w:ascii="Calibri" w:hAnsi="Calibri"/>
        </w:rPr>
        <w:t>Appendices</w:t>
      </w:r>
      <w:bookmarkEnd w:id="94"/>
    </w:p>
    <w:p w:rsidR="00333493" w:rsidRPr="00DE185C" w:rsidRDefault="00D547A0" w:rsidP="00D547A0">
      <w:pPr>
        <w:jc w:val="center"/>
        <w:rPr>
          <w:rFonts w:ascii="Calibri" w:hAnsi="Calibri"/>
        </w:rPr>
      </w:pPr>
      <w:r>
        <w:rPr>
          <w:rFonts w:ascii="Calibri" w:hAnsi="Calibri"/>
        </w:rPr>
        <w:t>(attached)</w:t>
      </w:r>
    </w:p>
    <w:sectPr w:rsidR="00333493" w:rsidRPr="00DE185C" w:rsidSect="006E47E8">
      <w:headerReference w:type="default" r:id="rId46"/>
      <w:footerReference w:type="default" r:id="rId47"/>
      <w:footerReference w:type="first" r:id="rId4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9BC" w:rsidRDefault="006909BC" w:rsidP="00953946">
      <w:pPr>
        <w:spacing w:after="0" w:line="240" w:lineRule="auto"/>
      </w:pPr>
      <w:r>
        <w:separator/>
      </w:r>
    </w:p>
    <w:p w:rsidR="006909BC" w:rsidRDefault="006909BC"/>
    <w:p w:rsidR="006909BC" w:rsidRDefault="006909BC"/>
  </w:endnote>
  <w:endnote w:type="continuationSeparator" w:id="0">
    <w:p w:rsidR="006909BC" w:rsidRDefault="006909BC" w:rsidP="00953946">
      <w:pPr>
        <w:spacing w:after="0" w:line="240" w:lineRule="auto"/>
      </w:pPr>
      <w:r>
        <w:continuationSeparator/>
      </w:r>
    </w:p>
    <w:p w:rsidR="006909BC" w:rsidRDefault="006909BC"/>
    <w:p w:rsidR="006909BC" w:rsidRDefault="006909BC"/>
  </w:endnote>
  <w:endnote w:type="continuationNotice" w:id="1">
    <w:p w:rsidR="006909BC" w:rsidRDefault="006909BC">
      <w:pPr>
        <w:spacing w:after="0" w:line="240" w:lineRule="auto"/>
      </w:pPr>
    </w:p>
    <w:p w:rsidR="006909BC" w:rsidRDefault="006909BC"/>
    <w:p w:rsidR="006909BC" w:rsidRDefault="00690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20B0503030403020204"/>
    <w:charset w:val="00"/>
    <w:family w:val="swiss"/>
    <w:notTrueType/>
    <w:pitch w:val="variable"/>
    <w:sig w:usb0="A00002AF" w:usb1="50002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yriad Pro Light">
    <w:altName w:val="Aria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BC" w:rsidRPr="00FD2C00" w:rsidRDefault="006909BC" w:rsidP="00FD2C00">
    <w:pPr>
      <w:pStyle w:val="Footer"/>
      <w:tabs>
        <w:tab w:val="left" w:pos="8296"/>
      </w:tabs>
      <w:rPr>
        <w:rFonts w:asciiTheme="majorHAnsi" w:hAnsiTheme="majorHAnsi"/>
        <w:color w:val="A6A6A6" w:themeColor="background1" w:themeShade="A6"/>
        <w:sz w:val="20"/>
        <w:szCs w:val="20"/>
      </w:rPr>
    </w:pPr>
    <w:r w:rsidRPr="00E37CE8">
      <w:rPr>
        <w:rFonts w:ascii="Myriad Pro" w:hAnsi="Myriad Pro"/>
        <w:noProof/>
        <w:color w:val="314B5A"/>
        <w:sz w:val="18"/>
        <w:szCs w:val="18"/>
        <w:lang w:eastAsia="zh-CN"/>
      </w:rPr>
      <mc:AlternateContent>
        <mc:Choice Requires="wps">
          <w:drawing>
            <wp:anchor distT="0" distB="0" distL="114300" distR="114300" simplePos="0" relativeHeight="251658240" behindDoc="0" locked="0" layoutInCell="1" allowOverlap="1" wp14:anchorId="3FC92590" wp14:editId="22B2EBE4">
              <wp:simplePos x="0" y="0"/>
              <wp:positionH relativeFrom="column">
                <wp:posOffset>5867400</wp:posOffset>
              </wp:positionH>
              <wp:positionV relativeFrom="paragraph">
                <wp:posOffset>-53340</wp:posOffset>
              </wp:positionV>
              <wp:extent cx="406400" cy="299085"/>
              <wp:effectExtent l="0" t="0" r="0" b="571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99085"/>
                      </a:xfrm>
                      <a:prstGeom prst="rect">
                        <a:avLst/>
                      </a:prstGeom>
                      <a:noFill/>
                      <a:ln w="9525">
                        <a:noFill/>
                        <a:miter lim="800000"/>
                        <a:headEnd/>
                        <a:tailEnd/>
                      </a:ln>
                    </wps:spPr>
                    <wps:txbx>
                      <w:txbxContent>
                        <w:p w:rsidR="006909BC" w:rsidRPr="003B5820" w:rsidRDefault="00F949FB" w:rsidP="00E37CE8">
                          <w:pPr>
                            <w:jc w:val="center"/>
                          </w:pPr>
                          <w:sdt>
                            <w:sdtPr>
                              <w:rPr>
                                <w:rFonts w:asciiTheme="majorHAnsi" w:hAnsiTheme="majorHAnsi"/>
                                <w:color w:val="FFFFFF" w:themeColor="background1"/>
                                <w:sz w:val="20"/>
                                <w:szCs w:val="20"/>
                              </w:rPr>
                              <w:id w:val="-1598399243"/>
                              <w:docPartObj>
                                <w:docPartGallery w:val="Page Numbers (Bottom of Page)"/>
                                <w:docPartUnique/>
                              </w:docPartObj>
                            </w:sdtPr>
                            <w:sdtEndPr>
                              <w:rPr>
                                <w:noProof/>
                              </w:rPr>
                            </w:sdtEndPr>
                            <w:sdtContent>
                              <w:r w:rsidR="006909BC" w:rsidRPr="00B943E1">
                                <w:rPr>
                                  <w:rFonts w:asciiTheme="majorHAnsi" w:hAnsiTheme="majorHAnsi"/>
                                  <w:color w:val="314B5A"/>
                                  <w:sz w:val="20"/>
                                  <w:szCs w:val="20"/>
                                </w:rPr>
                                <w:fldChar w:fldCharType="begin"/>
                              </w:r>
                              <w:r w:rsidR="006909BC" w:rsidRPr="00B943E1">
                                <w:rPr>
                                  <w:rFonts w:asciiTheme="majorHAnsi" w:hAnsiTheme="majorHAnsi"/>
                                  <w:color w:val="314B5A"/>
                                  <w:sz w:val="20"/>
                                  <w:szCs w:val="20"/>
                                </w:rPr>
                                <w:instrText xml:space="preserve"> PAGE   \* MERGEFORMAT </w:instrText>
                              </w:r>
                              <w:r w:rsidR="006909BC" w:rsidRPr="00B943E1">
                                <w:rPr>
                                  <w:rFonts w:asciiTheme="majorHAnsi" w:hAnsiTheme="majorHAnsi"/>
                                  <w:color w:val="314B5A"/>
                                  <w:sz w:val="20"/>
                                  <w:szCs w:val="20"/>
                                </w:rPr>
                                <w:fldChar w:fldCharType="separate"/>
                              </w:r>
                              <w:r>
                                <w:rPr>
                                  <w:rFonts w:asciiTheme="majorHAnsi" w:hAnsiTheme="majorHAnsi"/>
                                  <w:noProof/>
                                  <w:color w:val="314B5A"/>
                                  <w:sz w:val="20"/>
                                  <w:szCs w:val="20"/>
                                </w:rPr>
                                <w:t>5</w:t>
                              </w:r>
                              <w:r w:rsidR="006909BC" w:rsidRPr="00B943E1">
                                <w:rPr>
                                  <w:rFonts w:asciiTheme="majorHAnsi" w:hAnsiTheme="majorHAnsi"/>
                                  <w:noProof/>
                                  <w:color w:val="314B5A"/>
                                  <w:sz w:val="20"/>
                                  <w:szCs w:val="20"/>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462pt;margin-top:-4.2pt;width:32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13CgIAAPMDAAAOAAAAZHJzL2Uyb0RvYy54bWysU1Fv2yAQfp+0/4B4X+xYSRdbIVXXrtOk&#10;rpvU7gcQjGM04BiQ2Nmv34HTNNrepvGAgLv77r7vjvX1aDQ5SB8UWEbns5ISaQW0yu4Y/f58/25F&#10;SYjctlyDlYweZaDXm7dv1oNrZAU96FZ6giA2NINjtI/RNUURRC8NDzNw0qKxA294xKvfFa3nA6Ib&#10;XVRleVUM4FvnQcgQ8PVuMtJNxu86KeLXrgsyEs0o1hbz7vO+TXuxWfNm57nrlTiVwf+hCsOVxaRn&#10;qDseOdl79ReUUcJDgC7OBJgCuk4JmTkgm3n5B5unnjuZuaA4wZ1lCv8PVjwevnmiWkarekmJ5Qab&#10;9CzHSD7ASKqkz+BCg25PDh3jiM/Y58w1uAcQPwKxcNtzu5M33sPQS95iffMUWVyETjghgWyHL9Bi&#10;Gr6PkIHGzpskHspBEB37dDz3JpUi8HFRXi1KtAg0VXVdrpY5A29egp0P8ZMEQ9KBUY+tz+D88BBi&#10;KoY3Ly4pl4V7pXVuv7ZkYLReVssccGExKuJ0amUYXZVpTfOSOH60bQ6OXOnpjAm0PZFOPCfGcdyO&#10;6JiU2EJ7RPoepinEX4OHHvwvSgacQEbDzz33khL92aKE9XyxSCObL4vl+wov/tKyvbRwKxCK0UjJ&#10;dLyNecwnrjcodaeyDK+VnGrFycrqnH5BGt3Le/Z6/aub3wAAAP//AwBQSwMEFAAGAAgAAAAhAKEB&#10;OXvdAAAACQEAAA8AAABkcnMvZG93bnJldi54bWxMj8FOwzAQRO9I/IO1SNxamxLACXEqBOIKotBK&#10;3Nx4m0TE6yh2m/D3LCc4zs5o9k25nn0vTjjGLpCBq6UCgVQH11Fj4OP9eaFBxGTJ2T4QGvjGCOvq&#10;/Ky0hQsTveFpkxrBJRQLa6BNaSikjHWL3sZlGJDYO4TR28RybKQb7cTlvpcrpW6ltx3xh9YO+Nhi&#10;/bU5egPbl8PnLlOvzZO/GaYwK0k+l8ZcXswP9yASzukvDL/4jA4VM+3DkVwUvYF8lfGWZGChMxAc&#10;yLXmw97Atb4DWZXy/4LqBwAA//8DAFBLAQItABQABgAIAAAAIQC2gziS/gAAAOEBAAATAAAAAAAA&#10;AAAAAAAAAAAAAABbQ29udGVudF9UeXBlc10ueG1sUEsBAi0AFAAGAAgAAAAhADj9If/WAAAAlAEA&#10;AAsAAAAAAAAAAAAAAAAALwEAAF9yZWxzLy5yZWxzUEsBAi0AFAAGAAgAAAAhAOA5vXcKAgAA8wMA&#10;AA4AAAAAAAAAAAAAAAAALgIAAGRycy9lMm9Eb2MueG1sUEsBAi0AFAAGAAgAAAAhAKEBOXvdAAAA&#10;CQEAAA8AAAAAAAAAAAAAAAAAZAQAAGRycy9kb3ducmV2LnhtbFBLBQYAAAAABAAEAPMAAABuBQAA&#10;AAA=&#10;" filled="f" stroked="f">
              <v:textbox>
                <w:txbxContent>
                  <w:p w:rsidR="006909BC" w:rsidRPr="003B5820" w:rsidRDefault="00F949FB" w:rsidP="00E37CE8">
                    <w:pPr>
                      <w:jc w:val="center"/>
                    </w:pPr>
                    <w:sdt>
                      <w:sdtPr>
                        <w:rPr>
                          <w:rFonts w:asciiTheme="majorHAnsi" w:hAnsiTheme="majorHAnsi"/>
                          <w:color w:val="FFFFFF" w:themeColor="background1"/>
                          <w:sz w:val="20"/>
                          <w:szCs w:val="20"/>
                        </w:rPr>
                        <w:id w:val="-1598399243"/>
                        <w:docPartObj>
                          <w:docPartGallery w:val="Page Numbers (Bottom of Page)"/>
                          <w:docPartUnique/>
                        </w:docPartObj>
                      </w:sdtPr>
                      <w:sdtEndPr>
                        <w:rPr>
                          <w:noProof/>
                        </w:rPr>
                      </w:sdtEndPr>
                      <w:sdtContent>
                        <w:r w:rsidR="006909BC" w:rsidRPr="00B943E1">
                          <w:rPr>
                            <w:rFonts w:asciiTheme="majorHAnsi" w:hAnsiTheme="majorHAnsi"/>
                            <w:color w:val="314B5A"/>
                            <w:sz w:val="20"/>
                            <w:szCs w:val="20"/>
                          </w:rPr>
                          <w:fldChar w:fldCharType="begin"/>
                        </w:r>
                        <w:r w:rsidR="006909BC" w:rsidRPr="00B943E1">
                          <w:rPr>
                            <w:rFonts w:asciiTheme="majorHAnsi" w:hAnsiTheme="majorHAnsi"/>
                            <w:color w:val="314B5A"/>
                            <w:sz w:val="20"/>
                            <w:szCs w:val="20"/>
                          </w:rPr>
                          <w:instrText xml:space="preserve"> PAGE   \* MERGEFORMAT </w:instrText>
                        </w:r>
                        <w:r w:rsidR="006909BC" w:rsidRPr="00B943E1">
                          <w:rPr>
                            <w:rFonts w:asciiTheme="majorHAnsi" w:hAnsiTheme="majorHAnsi"/>
                            <w:color w:val="314B5A"/>
                            <w:sz w:val="20"/>
                            <w:szCs w:val="20"/>
                          </w:rPr>
                          <w:fldChar w:fldCharType="separate"/>
                        </w:r>
                        <w:r>
                          <w:rPr>
                            <w:rFonts w:asciiTheme="majorHAnsi" w:hAnsiTheme="majorHAnsi"/>
                            <w:noProof/>
                            <w:color w:val="314B5A"/>
                            <w:sz w:val="20"/>
                            <w:szCs w:val="20"/>
                          </w:rPr>
                          <w:t>5</w:t>
                        </w:r>
                        <w:r w:rsidR="006909BC" w:rsidRPr="00B943E1">
                          <w:rPr>
                            <w:rFonts w:asciiTheme="majorHAnsi" w:hAnsiTheme="majorHAnsi"/>
                            <w:noProof/>
                            <w:color w:val="314B5A"/>
                            <w:sz w:val="20"/>
                            <w:szCs w:val="20"/>
                          </w:rPr>
                          <w:fldChar w:fldCharType="end"/>
                        </w:r>
                      </w:sdtContent>
                    </w:sdt>
                  </w:p>
                </w:txbxContent>
              </v:textbox>
            </v:shape>
          </w:pict>
        </mc:Fallback>
      </mc:AlternateContent>
    </w:r>
    <w:r w:rsidRPr="00E37CE8">
      <w:rPr>
        <w:rFonts w:ascii="Myriad Pro" w:hAnsi="Myriad Pro"/>
        <w:noProof/>
        <w:color w:val="314B5A"/>
        <w:sz w:val="18"/>
        <w:szCs w:val="18"/>
        <w:lang w:eastAsia="zh-CN"/>
      </w:rPr>
      <mc:AlternateContent>
        <mc:Choice Requires="wps">
          <w:drawing>
            <wp:anchor distT="0" distB="0" distL="114300" distR="114300" simplePos="0" relativeHeight="251657216" behindDoc="0" locked="0" layoutInCell="1" allowOverlap="1" wp14:anchorId="451056DB" wp14:editId="1EE0DEE9">
              <wp:simplePos x="0" y="0"/>
              <wp:positionH relativeFrom="column">
                <wp:posOffset>1851025</wp:posOffset>
              </wp:positionH>
              <wp:positionV relativeFrom="paragraph">
                <wp:posOffset>-57150</wp:posOffset>
              </wp:positionV>
              <wp:extent cx="3907155" cy="2990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299085"/>
                      </a:xfrm>
                      <a:prstGeom prst="rect">
                        <a:avLst/>
                      </a:prstGeom>
                      <a:noFill/>
                      <a:ln w="9525">
                        <a:noFill/>
                        <a:miter lim="800000"/>
                        <a:headEnd/>
                        <a:tailEnd/>
                      </a:ln>
                    </wps:spPr>
                    <wps:txbx>
                      <w:txbxContent>
                        <w:p w:rsidR="006909BC" w:rsidRPr="00B943E1" w:rsidRDefault="006909BC" w:rsidP="00E37CE8">
                          <w:pPr>
                            <w:jc w:val="right"/>
                            <w:rPr>
                              <w:rFonts w:ascii="Myriad Pro" w:hAnsi="Myriad Pro"/>
                              <w:color w:val="314B5A"/>
                              <w:sz w:val="18"/>
                              <w:szCs w:val="18"/>
                            </w:rPr>
                          </w:pPr>
                          <w:r>
                            <w:rPr>
                              <w:rFonts w:ascii="Myriad Pro" w:hAnsi="Myriad Pro"/>
                              <w:color w:val="314B5A"/>
                              <w:sz w:val="18"/>
                              <w:szCs w:val="18"/>
                            </w:rPr>
                            <w:t>San Diego Regional Alternative Fuel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145.75pt;margin-top:-4.5pt;width:307.6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9jDwIAAPsDAAAOAAAAZHJzL2Uyb0RvYy54bWysU21v2yAQ/j5p/wHxfbHjxktsxam6dp0m&#10;dS9Sux9AMI7RgGNAYme/vgdO02j7No0PiOO45+557lhfj1qRg3BegmnofJZTIgyHVppdQ3883b9b&#10;UeIDMy1TYERDj8LT683bN+vB1qKAHlQrHEEQ4+vBNrQPwdZZ5nkvNPMzsMKgswOnWUDT7bLWsQHR&#10;tcqKPH+fDeBa64AL7/H2bnLSTcLvOsHDt67zIhDVUKwtpN2lfRv3bLNm9c4x20t+KoP9QxWaSYNJ&#10;z1B3LDCyd/IvKC25Aw9dmHHQGXSd5CJxQDbz/A82jz2zInFBcbw9y+T/Hyz/evjuiGwbepUvKTFM&#10;Y5OexBjIBxhJEfUZrK/x2aPFh2HEa+xz4urtA/Cfnhi47ZnZiRvnYOgFa7G+eYzMLkInHB9BtsMX&#10;aDEN2wdIQGPndBQP5SCIjn06nnsTS+F4eVXly3lZUsLRV1RVvipTCla/RFvnwycBmsRDQx32PqGz&#10;w4MPsRpWvzyJyQzcS6VS/5UhQ0OrsihTwIVHy4DjqaRu6CqPaxqYSPKjaVNwYFJNZ0ygzIl1JDpR&#10;DuN2TAInSaIiW2iPKIODaRrx9+ChB/ebkgEnsaH+1545QYn6bFDKar5YxNFNxqJcFmi4S8/20sMM&#10;R6iGBkqm421I4z5RvkHJO5nUeK3kVDJOWBLp9BviCF/a6dXrn908AwAA//8DAFBLAwQUAAYACAAA&#10;ACEAS9yIdt4AAAAJAQAADwAAAGRycy9kb3ducmV2LnhtbEyPy07DMBBF90j8gzVI7Fo7hVZNmkmF&#10;QGxBlIfUnZtMk4h4HMVuE/6eYUWXo7m695x8O7lOnWkIrWeEZG5AEZe+arlG+Hh/nq1BhWi5sp1n&#10;QvihANvi+iq3WeVHfqPzLtZKSjhkFqGJsc+0DmVDzoa574nld/SDs1HOodbVYEcpd51eGLPSzrYs&#10;C43t6bGh8nt3cgifL8f91715rZ/csh/9ZDS7VCPe3kwPG1CRpvgfhj98QYdCmA7+xFVQHcIiTZYS&#10;RZil4iSB1KzE5YBwt05AF7m+NCh+AQAA//8DAFBLAQItABQABgAIAAAAIQC2gziS/gAAAOEBAAAT&#10;AAAAAAAAAAAAAAAAAAAAAABbQ29udGVudF9UeXBlc10ueG1sUEsBAi0AFAAGAAgAAAAhADj9If/W&#10;AAAAlAEAAAsAAAAAAAAAAAAAAAAALwEAAF9yZWxzLy5yZWxzUEsBAi0AFAAGAAgAAAAhAF9+/2MP&#10;AgAA+wMAAA4AAAAAAAAAAAAAAAAALgIAAGRycy9lMm9Eb2MueG1sUEsBAi0AFAAGAAgAAAAhAEvc&#10;iHbeAAAACQEAAA8AAAAAAAAAAAAAAAAAaQQAAGRycy9kb3ducmV2LnhtbFBLBQYAAAAABAAEAPMA&#10;AAB0BQAAAAA=&#10;" filled="f" stroked="f">
              <v:textbox>
                <w:txbxContent>
                  <w:p w:rsidR="006909BC" w:rsidRPr="00B943E1" w:rsidRDefault="006909BC" w:rsidP="00E37CE8">
                    <w:pPr>
                      <w:jc w:val="right"/>
                      <w:rPr>
                        <w:rFonts w:ascii="Myriad Pro" w:hAnsi="Myriad Pro"/>
                        <w:color w:val="314B5A"/>
                        <w:sz w:val="18"/>
                        <w:szCs w:val="18"/>
                      </w:rPr>
                    </w:pPr>
                    <w:r>
                      <w:rPr>
                        <w:rFonts w:ascii="Myriad Pro" w:hAnsi="Myriad Pro"/>
                        <w:color w:val="314B5A"/>
                        <w:sz w:val="18"/>
                        <w:szCs w:val="18"/>
                      </w:rPr>
                      <w:t>San Diego Regional Alternative Fuel Assessment</w:t>
                    </w:r>
                  </w:p>
                </w:txbxContent>
              </v:textbox>
            </v:shape>
          </w:pict>
        </mc:Fallback>
      </mc:AlternateContent>
    </w:r>
    <w:r w:rsidRPr="00E37CE8">
      <w:rPr>
        <w:rFonts w:ascii="Myriad Pro" w:hAnsi="Myriad Pro"/>
        <w:noProof/>
        <w:color w:val="314B5A"/>
        <w:sz w:val="18"/>
        <w:szCs w:val="18"/>
        <w:lang w:eastAsia="zh-CN"/>
      </w:rPr>
      <mc:AlternateContent>
        <mc:Choice Requires="wps">
          <w:drawing>
            <wp:anchor distT="0" distB="0" distL="114300" distR="114300" simplePos="0" relativeHeight="251656192" behindDoc="1" locked="0" layoutInCell="1" allowOverlap="1" wp14:anchorId="33D451D5" wp14:editId="73543344">
              <wp:simplePos x="0" y="0"/>
              <wp:positionH relativeFrom="page">
                <wp:posOffset>890270</wp:posOffset>
              </wp:positionH>
              <wp:positionV relativeFrom="paragraph">
                <wp:posOffset>-241564</wp:posOffset>
              </wp:positionV>
              <wp:extent cx="6167755" cy="77470"/>
              <wp:effectExtent l="0" t="0" r="4445" b="0"/>
              <wp:wrapNone/>
              <wp:docPr id="310" name="Rectangle 310"/>
              <wp:cNvGraphicFramePr/>
              <a:graphic xmlns:a="http://schemas.openxmlformats.org/drawingml/2006/main">
                <a:graphicData uri="http://schemas.microsoft.com/office/word/2010/wordprocessingShape">
                  <wps:wsp>
                    <wps:cNvSpPr/>
                    <wps:spPr>
                      <a:xfrm flipV="1">
                        <a:off x="0" y="0"/>
                        <a:ext cx="6167755" cy="77470"/>
                      </a:xfrm>
                      <a:prstGeom prst="rect">
                        <a:avLst/>
                      </a:prstGeom>
                      <a:solidFill>
                        <a:srgbClr val="314B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70.1pt;margin-top:-19pt;width:485.65pt;height:6.1pt;flip:y;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OboQIAAJIFAAAOAAAAZHJzL2Uyb0RvYy54bWysVE1vGyEQvVfqf0Dcm/U6dtxaWUduolSV&#10;osRK0uaMWfAisQwF/NVf3wF2N2ka9VB1Dytg3rz54DHnF4dWk51wXoGpaHkyokQYDrUym4p+e7z+&#10;8JESH5ipmQYjKnoUnl4s3r8739u5GEMDuhaOIInx872taBOCnReF541omT8BKwwaJbiWBdy6TVE7&#10;tkf2Vhfj0eis2IOrrQMuvMfTq2yki8QvpeDhTkovAtEVxdxC+rv0X8d/sThn841jtlG8S4P9QxYt&#10;UwaDDlRXLDCydeoPqlZxBx5kOOHQFiCl4iLVgNWUo1fVPDTMilQLNsfboU3+/9Hy293KEVVX9LTE&#10;/hjW4iXdY9uY2WhB4iG2aG/9HJEPduW6ncdlrPcgXUukVvY73n7qANZEDqnBx6HB4hAIx8Oz8mw2&#10;m04p4WibzSazxF5kmkhnnQ9fBLQkLirqMJFEynY3PmBohPaQCPegVX2ttE4bt1lfakd2DO/6tJx8&#10;ni5j7ujyG0ybCDYQ3bI5nhSxxFxUWoWjFhGnzb2Q2B9MfpwyScoUQxzGuTAhV+4bVoscfjrCr48e&#10;tRw9Ui6JMDJLjD9wdwQ9MpP03DnLDh9dRRL24Dz6W2LZefBIkcGEwblVBtxbBBqr6iJnfN+k3JrY&#10;pTXUR1SPg/ysvOXXCu/thvmwYg7fESoKZ0O4w5/UsK8odCtKGnA/3zqPeJQ3WinZ47usqP+xZU5Q&#10;or8aFP6ncjKJDzltJtPZGDfupWX90mK27SWgHEqcQpanZcQH3S+lg/YJR8gyRkUTMxxjV5QH128u&#10;Q54XOIS4WC4TDB+vZeHGPFje6z7q8vHwxJztxBtQ9bfQv2E2f6XhjI33YWC5DSBVEvhzX7t+48NP&#10;wumGVJwsL/cJ9TxKF78AAAD//wMAUEsDBBQABgAIAAAAIQAz+Yrv4gAAAAwBAAAPAAAAZHJzL2Rv&#10;d25yZXYueG1sTI9BT8MwDIXvSPyHyEjctpTCoJSmE4JV4oIGGwhxyxrTFhqnatK18OvxTuDbs5+e&#10;v5ctJ9uKPfa+caTgbB6BQCqdaahS8LItZgkIHzQZ3TpCBd/oYZkfH2U6NW6kZ9xvQiU4hHyqFdQh&#10;dKmUvqzRaj93HRLfPlxvdWDZV9L0euRw28o4ii6l1Q3xh1p3eFdj+bUZrIJ1Md4PTz/t1er1/bG4&#10;flh9rt/irVKnJ9PtDYiAU/gzwwGf0SFnpp0byHjRsr6IYrYqmJ0nXOrg4FmA2PEqXiQg80z+L5H/&#10;AgAA//8DAFBLAQItABQABgAIAAAAIQC2gziS/gAAAOEBAAATAAAAAAAAAAAAAAAAAAAAAABbQ29u&#10;dGVudF9UeXBlc10ueG1sUEsBAi0AFAAGAAgAAAAhADj9If/WAAAAlAEAAAsAAAAAAAAAAAAAAAAA&#10;LwEAAF9yZWxzLy5yZWxzUEsBAi0AFAAGAAgAAAAhAHwjg5uhAgAAkgUAAA4AAAAAAAAAAAAAAAAA&#10;LgIAAGRycy9lMm9Eb2MueG1sUEsBAi0AFAAGAAgAAAAhADP5iu/iAAAADAEAAA8AAAAAAAAAAAAA&#10;AAAA+wQAAGRycy9kb3ducmV2LnhtbFBLBQYAAAAABAAEAPMAAAAKBgAAAAA=&#10;" fillcolor="#314b5a" stroked="f" strokeweight="2pt">
              <w10:wrap anchorx="page"/>
            </v:rect>
          </w:pict>
        </mc:Fallback>
      </mc:AlternateContent>
    </w:r>
    <w:r>
      <w:rPr>
        <w:rFonts w:ascii="Myriad Pro Light" w:hAnsi="Myriad Pro Light"/>
        <w:sz w:val="20"/>
        <w:szCs w:val="20"/>
      </w:rPr>
      <w:tab/>
    </w:r>
    <w:r>
      <w:rPr>
        <w:rFonts w:ascii="Myriad Pro Light" w:hAnsi="Myriad Pro Light"/>
        <w:sz w:val="20"/>
        <w:szCs w:val="20"/>
      </w:rPr>
      <w:tab/>
    </w:r>
    <w:r>
      <w:rPr>
        <w:rFonts w:ascii="Myriad Pro Light" w:hAnsi="Myriad Pro Light"/>
        <w:sz w:val="20"/>
        <w:szCs w:val="20"/>
      </w:rPr>
      <w:tab/>
    </w:r>
    <w:r>
      <w:rPr>
        <w:rFonts w:ascii="Myriad Pro Light" w:hAnsi="Myriad Pro Light"/>
        <w:sz w:val="20"/>
        <w:szCs w:val="20"/>
      </w:rPr>
      <w:softHyphen/>
    </w:r>
    <w:r w:rsidRPr="00AE0BFA">
      <w:rPr>
        <w:rFonts w:asciiTheme="majorHAnsi" w:hAnsiTheme="majorHAnsi"/>
        <w:color w:val="FFFFFF" w:themeColor="background1"/>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BC" w:rsidRDefault="006909BC" w:rsidP="006E38F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9BC" w:rsidRDefault="006909BC" w:rsidP="00953946">
      <w:pPr>
        <w:spacing w:after="0" w:line="240" w:lineRule="auto"/>
      </w:pPr>
      <w:r>
        <w:separator/>
      </w:r>
    </w:p>
    <w:p w:rsidR="006909BC" w:rsidRDefault="006909BC"/>
    <w:p w:rsidR="006909BC" w:rsidRDefault="006909BC"/>
  </w:footnote>
  <w:footnote w:type="continuationSeparator" w:id="0">
    <w:p w:rsidR="006909BC" w:rsidRDefault="006909BC" w:rsidP="00953946">
      <w:pPr>
        <w:spacing w:after="0" w:line="240" w:lineRule="auto"/>
      </w:pPr>
      <w:r>
        <w:continuationSeparator/>
      </w:r>
    </w:p>
    <w:p w:rsidR="006909BC" w:rsidRDefault="006909BC"/>
    <w:p w:rsidR="006909BC" w:rsidRDefault="006909BC"/>
  </w:footnote>
  <w:footnote w:type="continuationNotice" w:id="1">
    <w:p w:rsidR="006909BC" w:rsidRDefault="006909BC">
      <w:pPr>
        <w:spacing w:after="0" w:line="240" w:lineRule="auto"/>
      </w:pPr>
    </w:p>
    <w:p w:rsidR="006909BC" w:rsidRDefault="006909BC"/>
    <w:p w:rsidR="006909BC" w:rsidRDefault="006909BC"/>
  </w:footnote>
  <w:footnote w:id="2">
    <w:p w:rsidR="006909BC" w:rsidRPr="00066847" w:rsidRDefault="006909BC" w:rsidP="00524127">
      <w:pPr>
        <w:pStyle w:val="FootnoteText"/>
        <w:rPr>
          <w:rFonts w:ascii="Calibri" w:hAnsi="Calibri"/>
        </w:rPr>
      </w:pPr>
      <w:r w:rsidRPr="00066847">
        <w:rPr>
          <w:rStyle w:val="FootnoteReference"/>
          <w:rFonts w:ascii="Calibri" w:hAnsi="Calibri"/>
        </w:rPr>
        <w:footnoteRef/>
      </w:r>
      <w:r w:rsidRPr="00066847">
        <w:rPr>
          <w:rFonts w:ascii="Calibri" w:hAnsi="Calibri"/>
        </w:rPr>
        <w:t xml:space="preserve"> Energy Policy Initiatives Center (EPIC). </w:t>
      </w:r>
      <w:r>
        <w:rPr>
          <w:rFonts w:ascii="Calibri" w:hAnsi="Calibri"/>
        </w:rPr>
        <w:t xml:space="preserve">2013. </w:t>
      </w:r>
      <w:r w:rsidRPr="00066847">
        <w:rPr>
          <w:rFonts w:ascii="Calibri" w:hAnsi="Calibri"/>
        </w:rPr>
        <w:t>“</w:t>
      </w:r>
      <w:r>
        <w:rPr>
          <w:rFonts w:ascii="Calibri" w:hAnsi="Calibri"/>
        </w:rPr>
        <w:t>San Diego County Updated Greenhouse Gas Inventory</w:t>
      </w:r>
      <w:r w:rsidRPr="00066847">
        <w:rPr>
          <w:rFonts w:ascii="Calibri" w:hAnsi="Calibri"/>
        </w:rPr>
        <w:t xml:space="preserve">.” </w:t>
      </w:r>
      <w:hyperlink r:id="rId1" w:history="1">
        <w:r w:rsidRPr="00F46BFE">
          <w:rPr>
            <w:rStyle w:val="Hyperlink"/>
            <w:rFonts w:ascii="Calibri" w:hAnsi="Calibri"/>
          </w:rPr>
          <w:t>http://catcher.sandiego.edu/items/usdlaw/EPIC-GHG-2013.pdf</w:t>
        </w:r>
      </w:hyperlink>
      <w:r>
        <w:rPr>
          <w:rFonts w:ascii="Calibri" w:hAnsi="Calibri"/>
        </w:rPr>
        <w:t xml:space="preserve"> </w:t>
      </w:r>
    </w:p>
  </w:footnote>
  <w:footnote w:id="3">
    <w:p w:rsidR="006909BC" w:rsidRPr="00EE0C47" w:rsidRDefault="006909BC">
      <w:pPr>
        <w:pStyle w:val="FootnoteText"/>
        <w:rPr>
          <w:rFonts w:ascii="Calibri" w:hAnsi="Calibri"/>
        </w:rPr>
      </w:pPr>
      <w:r w:rsidRPr="00EE0C47">
        <w:rPr>
          <w:rStyle w:val="FootnoteReference"/>
          <w:rFonts w:ascii="Calibri" w:hAnsi="Calibri"/>
        </w:rPr>
        <w:footnoteRef/>
      </w:r>
      <w:r w:rsidRPr="00EE0C47">
        <w:rPr>
          <w:rFonts w:ascii="Calibri" w:hAnsi="Calibri"/>
        </w:rPr>
        <w:t xml:space="preserve"> More information about the Public Agency Survey, as well as the survey quest</w:t>
      </w:r>
      <w:r>
        <w:rPr>
          <w:rFonts w:ascii="Calibri" w:hAnsi="Calibri"/>
        </w:rPr>
        <w:t>ions, can be found in Appendix C</w:t>
      </w:r>
      <w:r w:rsidRPr="00EE0C47">
        <w:rPr>
          <w:rFonts w:ascii="Calibri" w:hAnsi="Calibri"/>
        </w:rPr>
        <w:t>.</w:t>
      </w:r>
    </w:p>
  </w:footnote>
  <w:footnote w:id="4">
    <w:p w:rsidR="006909BC" w:rsidRPr="00EE0C47" w:rsidRDefault="006909BC">
      <w:pPr>
        <w:pStyle w:val="FootnoteText"/>
        <w:rPr>
          <w:rFonts w:ascii="Calibri" w:hAnsi="Calibri"/>
        </w:rPr>
      </w:pPr>
      <w:r w:rsidRPr="00EE0C47">
        <w:rPr>
          <w:rStyle w:val="FootnoteReference"/>
          <w:rFonts w:ascii="Calibri" w:hAnsi="Calibri"/>
        </w:rPr>
        <w:footnoteRef/>
      </w:r>
      <w:r w:rsidRPr="00EE0C47">
        <w:rPr>
          <w:rFonts w:ascii="Calibri" w:hAnsi="Calibri"/>
        </w:rPr>
        <w:t xml:space="preserve"> More information about the Fleet Survey, as well as the survey quest</w:t>
      </w:r>
      <w:r>
        <w:rPr>
          <w:rFonts w:ascii="Calibri" w:hAnsi="Calibri"/>
        </w:rPr>
        <w:t>ions, can be found in Appendix D</w:t>
      </w:r>
      <w:r w:rsidRPr="00EE0C47">
        <w:rPr>
          <w:rFonts w:ascii="Calibri" w:hAnsi="Calibri"/>
        </w:rPr>
        <w:t xml:space="preserve">. </w:t>
      </w:r>
    </w:p>
  </w:footnote>
  <w:footnote w:id="5">
    <w:p w:rsidR="006909BC" w:rsidRPr="007D1651" w:rsidRDefault="006909BC" w:rsidP="00C85C8C">
      <w:pPr>
        <w:pStyle w:val="FootnoteText"/>
        <w:rPr>
          <w:rFonts w:ascii="Calibri" w:hAnsi="Calibri"/>
        </w:rPr>
      </w:pPr>
      <w:r w:rsidRPr="007D1651">
        <w:rPr>
          <w:rStyle w:val="FootnoteReference"/>
          <w:rFonts w:ascii="Calibri" w:hAnsi="Calibri"/>
        </w:rPr>
        <w:footnoteRef/>
      </w:r>
      <w:r w:rsidRPr="007D1651">
        <w:rPr>
          <w:rFonts w:ascii="Calibri" w:hAnsi="Calibri"/>
        </w:rPr>
        <w:t xml:space="preserve"> Reducing California’s Petroleum Dependence, an Energy Commission and ARB, joint agency report, August 2003, publication #P600-03-005.</w:t>
      </w:r>
    </w:p>
  </w:footnote>
  <w:footnote w:id="6">
    <w:p w:rsidR="006909BC" w:rsidRPr="00066847" w:rsidRDefault="006909BC" w:rsidP="00F95BB2">
      <w:pPr>
        <w:pStyle w:val="FootnoteText"/>
        <w:rPr>
          <w:rFonts w:ascii="Calibri" w:hAnsi="Calibri"/>
        </w:rPr>
      </w:pPr>
      <w:r w:rsidRPr="00066847">
        <w:rPr>
          <w:rStyle w:val="FootnoteReference"/>
          <w:rFonts w:ascii="Calibri" w:hAnsi="Calibri"/>
        </w:rPr>
        <w:footnoteRef/>
      </w:r>
      <w:r w:rsidRPr="00066847">
        <w:rPr>
          <w:rFonts w:ascii="Calibri" w:hAnsi="Calibri"/>
        </w:rPr>
        <w:t xml:space="preserve"> California Energy Commission. “Joint IEPR Transportation Lead Commissioner Workshop Transportation Energy Demand Forecasts.” Transcript, California Energy Commission. http://www.energy.ca.gov/2013_energypolicy/documents/2013-08-21_workshop/2013-08-21_transcript.pdf</w:t>
      </w:r>
    </w:p>
  </w:footnote>
  <w:footnote w:id="7">
    <w:p w:rsidR="006909BC" w:rsidRPr="00066847" w:rsidRDefault="006909BC" w:rsidP="00F95BB2">
      <w:pPr>
        <w:pStyle w:val="FootnoteText"/>
        <w:rPr>
          <w:rFonts w:ascii="Calibri" w:hAnsi="Calibri"/>
        </w:rPr>
      </w:pPr>
      <w:r w:rsidRPr="00066847">
        <w:rPr>
          <w:rStyle w:val="FootnoteReference"/>
          <w:rFonts w:ascii="Calibri" w:hAnsi="Calibri"/>
        </w:rPr>
        <w:footnoteRef/>
      </w:r>
      <w:r w:rsidRPr="00066847">
        <w:rPr>
          <w:rFonts w:ascii="Calibri" w:hAnsi="Calibri"/>
        </w:rPr>
        <w:t xml:space="preserve"> Spiller, </w:t>
      </w:r>
      <w:proofErr w:type="spellStart"/>
      <w:r w:rsidRPr="00066847">
        <w:rPr>
          <w:rFonts w:ascii="Calibri" w:hAnsi="Calibri"/>
        </w:rPr>
        <w:t>Beia</w:t>
      </w:r>
      <w:proofErr w:type="spellEnd"/>
      <w:r w:rsidRPr="00066847">
        <w:rPr>
          <w:rFonts w:ascii="Calibri" w:hAnsi="Calibri"/>
        </w:rPr>
        <w:t>, Cha</w:t>
      </w:r>
      <w:r>
        <w:rPr>
          <w:rFonts w:ascii="Calibri" w:hAnsi="Calibri"/>
        </w:rPr>
        <w:t xml:space="preserve">rles Mason &amp; James Fine. 2013. </w:t>
      </w:r>
      <w:r w:rsidRPr="00066847">
        <w:rPr>
          <w:rFonts w:ascii="Calibri" w:hAnsi="Calibri"/>
          <w:i/>
        </w:rPr>
        <w:t>Impact of California Transportation Policies on Long Term Fuel Diversification, Fuel Producer Market Power, and Motor Vehicle Fuel (Gasoline and Diesel) Prices</w:t>
      </w:r>
      <w:r w:rsidRPr="00066847">
        <w:rPr>
          <w:rFonts w:ascii="Calibri" w:hAnsi="Calibri"/>
        </w:rPr>
        <w:t>. Environmental Defense Fund. http://www.edf.org/sites/default/files/sites/default/files/content/Fuels%20Diversification%20Memo%20July%2016%20-%20FINAL.pdf</w:t>
      </w:r>
    </w:p>
  </w:footnote>
  <w:footnote w:id="8">
    <w:p w:rsidR="006909BC" w:rsidRPr="00EE0C47" w:rsidRDefault="006909BC" w:rsidP="00F95BB2">
      <w:pPr>
        <w:pStyle w:val="FootnoteText"/>
        <w:rPr>
          <w:rFonts w:ascii="Calibri" w:hAnsi="Calibri"/>
        </w:rPr>
      </w:pPr>
      <w:r w:rsidRPr="00EE0C47">
        <w:rPr>
          <w:rStyle w:val="FootnoteReference"/>
          <w:rFonts w:ascii="Calibri" w:hAnsi="Calibri"/>
        </w:rPr>
        <w:footnoteRef/>
      </w:r>
      <w:r w:rsidRPr="00EE0C47">
        <w:rPr>
          <w:rFonts w:ascii="Calibri" w:hAnsi="Calibri"/>
        </w:rPr>
        <w:t xml:space="preserve"> A gasoline gallon equivalent is the amount of alternative fuel it takes to equal the same energy content as a liquid gallon of gasoline. Using a gasoline-gallon equivalent allows different fuel types to be compared to gasoline. To see how alternative fuels are converted into its gasoline-gallon equivalent, visit http://www1.eere.energy.gov/vehiclesandfuels/epact/fuel_conversion_factors.html</w:t>
      </w:r>
    </w:p>
  </w:footnote>
  <w:footnote w:id="9">
    <w:p w:rsidR="006909BC" w:rsidRPr="00066847" w:rsidRDefault="006909BC" w:rsidP="00F95BB2">
      <w:pPr>
        <w:pStyle w:val="FootnoteText"/>
        <w:rPr>
          <w:rFonts w:ascii="Calibri" w:hAnsi="Calibri"/>
        </w:rPr>
      </w:pPr>
      <w:r w:rsidRPr="00066847">
        <w:rPr>
          <w:rStyle w:val="FootnoteReference"/>
          <w:rFonts w:ascii="Calibri" w:hAnsi="Calibri"/>
        </w:rPr>
        <w:footnoteRef/>
      </w:r>
      <w:r w:rsidRPr="00066847">
        <w:rPr>
          <w:rFonts w:ascii="Calibri" w:hAnsi="Calibri"/>
        </w:rPr>
        <w:t xml:space="preserve"> O’Neill, Garry, John </w:t>
      </w:r>
      <w:proofErr w:type="spellStart"/>
      <w:r w:rsidRPr="00066847">
        <w:rPr>
          <w:rFonts w:ascii="Calibri" w:hAnsi="Calibri"/>
        </w:rPr>
        <w:t>Nuffer</w:t>
      </w:r>
      <w:proofErr w:type="spellEnd"/>
      <w:r w:rsidRPr="00066847">
        <w:rPr>
          <w:rFonts w:ascii="Calibri" w:hAnsi="Calibri"/>
        </w:rPr>
        <w:t xml:space="preserve">. 2011. </w:t>
      </w:r>
      <w:r w:rsidRPr="00066847">
        <w:rPr>
          <w:rFonts w:ascii="Calibri" w:hAnsi="Calibri"/>
          <w:i/>
        </w:rPr>
        <w:t>2011 Bioenergy Action Plan.</w:t>
      </w:r>
      <w:r w:rsidRPr="00066847">
        <w:rPr>
          <w:rFonts w:ascii="Calibri" w:hAnsi="Calibri"/>
        </w:rPr>
        <w:t xml:space="preserve"> California Energy Commission, Efficiency and Renewables Division. Publication number: CEC-300-2011-001-CT</w:t>
      </w:r>
    </w:p>
  </w:footnote>
  <w:footnote w:id="10">
    <w:p w:rsidR="006909BC" w:rsidRPr="00066847" w:rsidRDefault="006909BC" w:rsidP="00F95BB2">
      <w:pPr>
        <w:pStyle w:val="FootnoteText"/>
        <w:rPr>
          <w:rFonts w:ascii="Calibri" w:hAnsi="Calibri"/>
        </w:rPr>
      </w:pPr>
      <w:r w:rsidRPr="00066847">
        <w:rPr>
          <w:rStyle w:val="FootnoteReference"/>
          <w:rFonts w:ascii="Calibri" w:hAnsi="Calibri"/>
        </w:rPr>
        <w:footnoteRef/>
      </w:r>
      <w:r w:rsidRPr="00066847">
        <w:rPr>
          <w:rFonts w:ascii="Calibri" w:hAnsi="Calibri"/>
        </w:rPr>
        <w:t xml:space="preserve"> Ibid. </w:t>
      </w:r>
    </w:p>
  </w:footnote>
  <w:footnote w:id="11">
    <w:p w:rsidR="006909BC" w:rsidRPr="00066847" w:rsidRDefault="006909BC" w:rsidP="00F95BB2">
      <w:pPr>
        <w:pStyle w:val="FootnoteText"/>
        <w:rPr>
          <w:rFonts w:ascii="Calibri" w:hAnsi="Calibri"/>
        </w:rPr>
      </w:pPr>
      <w:r w:rsidRPr="00066847">
        <w:rPr>
          <w:rStyle w:val="FootnoteReference"/>
          <w:rFonts w:ascii="Calibri" w:hAnsi="Calibri"/>
        </w:rPr>
        <w:footnoteRef/>
      </w:r>
      <w:r w:rsidRPr="00066847">
        <w:rPr>
          <w:rFonts w:ascii="Calibri" w:hAnsi="Calibri"/>
        </w:rPr>
        <w:t xml:space="preserve"> McDonald, Kim. 2011. “California Energy Commission Awards UCSD $2 Million for Biofuels Research.” UC San Diego Division of Biological Sciences. http://biology.ucsd.edu/news/article_050511.html. </w:t>
      </w:r>
    </w:p>
  </w:footnote>
  <w:footnote w:id="12">
    <w:p w:rsidR="006909BC" w:rsidRPr="00066847" w:rsidRDefault="006909BC" w:rsidP="00524127">
      <w:pPr>
        <w:pStyle w:val="FootnoteText"/>
        <w:rPr>
          <w:rFonts w:ascii="Calibri" w:hAnsi="Calibri"/>
        </w:rPr>
      </w:pPr>
      <w:r w:rsidRPr="00066847">
        <w:rPr>
          <w:rStyle w:val="FootnoteReference"/>
          <w:rFonts w:ascii="Calibri" w:hAnsi="Calibri"/>
        </w:rPr>
        <w:footnoteRef/>
      </w:r>
      <w:r w:rsidRPr="00066847">
        <w:rPr>
          <w:rFonts w:ascii="Calibri" w:hAnsi="Calibri"/>
        </w:rPr>
        <w:t xml:space="preserve"> California Energy Commission. 2013. </w:t>
      </w:r>
      <w:r w:rsidRPr="00066847">
        <w:rPr>
          <w:rFonts w:ascii="Calibri" w:hAnsi="Calibri"/>
          <w:i/>
        </w:rPr>
        <w:t>IEPR Lead Commissioner Workshop Revised Electricity and Natural Gas Demand Forecasts 2014-2024</w:t>
      </w:r>
      <w:r w:rsidRPr="00066847">
        <w:rPr>
          <w:rFonts w:ascii="Calibri" w:hAnsi="Calibri"/>
        </w:rPr>
        <w:t xml:space="preserve">. Transcript. </w:t>
      </w:r>
    </w:p>
  </w:footnote>
  <w:footnote w:id="13">
    <w:p w:rsidR="006909BC" w:rsidRPr="0068516E" w:rsidRDefault="006909BC">
      <w:pPr>
        <w:pStyle w:val="FootnoteText"/>
        <w:rPr>
          <w:rFonts w:ascii="Calibri" w:hAnsi="Calibri"/>
        </w:rPr>
      </w:pPr>
      <w:r w:rsidRPr="0068516E">
        <w:rPr>
          <w:rStyle w:val="FootnoteReference"/>
          <w:rFonts w:ascii="Calibri" w:hAnsi="Calibri"/>
        </w:rPr>
        <w:footnoteRef/>
      </w:r>
      <w:r w:rsidRPr="0068516E">
        <w:rPr>
          <w:rFonts w:ascii="Calibri" w:hAnsi="Calibri"/>
        </w:rPr>
        <w:t xml:space="preserve"> Corporate Average Fuel Economy (CAF</w:t>
      </w:r>
      <w:r>
        <w:rPr>
          <w:rFonts w:ascii="Calibri" w:hAnsi="Calibri"/>
        </w:rPr>
        <w:t>E</w:t>
      </w:r>
      <w:r w:rsidRPr="0068516E">
        <w:rPr>
          <w:rFonts w:ascii="Calibri" w:hAnsi="Calibri"/>
        </w:rPr>
        <w:t>) standards call for increasing fuel economy of cars and light-duty trucks. Each year</w:t>
      </w:r>
      <w:r w:rsidR="003D263D">
        <w:rPr>
          <w:rFonts w:ascii="Calibri" w:hAnsi="Calibri"/>
        </w:rPr>
        <w:t xml:space="preserve"> </w:t>
      </w:r>
      <w:r>
        <w:rPr>
          <w:rFonts w:ascii="Calibri" w:hAnsi="Calibri"/>
        </w:rPr>
        <w:t>the</w:t>
      </w:r>
      <w:r w:rsidRPr="0068516E">
        <w:rPr>
          <w:rFonts w:ascii="Calibri" w:hAnsi="Calibri"/>
        </w:rPr>
        <w:t xml:space="preserve"> CAF</w:t>
      </w:r>
      <w:r>
        <w:rPr>
          <w:rFonts w:ascii="Calibri" w:hAnsi="Calibri"/>
        </w:rPr>
        <w:t>E</w:t>
      </w:r>
      <w:r w:rsidRPr="0068516E">
        <w:rPr>
          <w:rFonts w:ascii="Calibri" w:hAnsi="Calibri"/>
        </w:rPr>
        <w:t xml:space="preserve"> standard is set for the average new vehicle fuel economy that manufacturers must achieve.</w:t>
      </w:r>
    </w:p>
  </w:footnote>
  <w:footnote w:id="14">
    <w:p w:rsidR="006909BC" w:rsidRPr="00EA2E84" w:rsidRDefault="006909BC" w:rsidP="00524127">
      <w:pPr>
        <w:pStyle w:val="FootnoteText"/>
        <w:rPr>
          <w:rFonts w:ascii="Calibri" w:hAnsi="Calibri"/>
        </w:rPr>
      </w:pPr>
      <w:r w:rsidRPr="00EA2E84">
        <w:rPr>
          <w:rStyle w:val="FootnoteReference"/>
          <w:rFonts w:ascii="Calibri" w:hAnsi="Calibri"/>
        </w:rPr>
        <w:footnoteRef/>
      </w:r>
      <w:r w:rsidRPr="00EA2E84">
        <w:rPr>
          <w:rFonts w:ascii="Calibri" w:hAnsi="Calibri"/>
        </w:rPr>
        <w:t xml:space="preserve"> </w:t>
      </w:r>
      <w:r w:rsidRPr="00EA2E84">
        <w:rPr>
          <w:rFonts w:ascii="Calibri" w:hAnsi="Calibri"/>
          <w:i/>
          <w:iCs/>
        </w:rPr>
        <w:t xml:space="preserve">California Motor Vehicle Stock Travel and Fuel Forecast </w:t>
      </w:r>
      <w:r w:rsidRPr="00EA2E84">
        <w:rPr>
          <w:rFonts w:ascii="Calibri" w:hAnsi="Calibri"/>
        </w:rPr>
        <w:t>(MVSTAFF) 2010 Report</w:t>
      </w:r>
    </w:p>
  </w:footnote>
  <w:footnote w:id="15">
    <w:p w:rsidR="006909BC" w:rsidRPr="00EA2E84" w:rsidRDefault="006909BC" w:rsidP="003A1285">
      <w:pPr>
        <w:pStyle w:val="FootnoteText"/>
        <w:rPr>
          <w:rFonts w:ascii="Calibri" w:hAnsi="Calibri"/>
        </w:rPr>
      </w:pPr>
      <w:r w:rsidRPr="00EA2E84">
        <w:rPr>
          <w:rStyle w:val="FootnoteReference"/>
          <w:rFonts w:ascii="Calibri" w:hAnsi="Calibri"/>
        </w:rPr>
        <w:footnoteRef/>
      </w:r>
      <w:r w:rsidRPr="00EA2E84">
        <w:rPr>
          <w:rFonts w:ascii="Calibri" w:hAnsi="Calibri"/>
        </w:rPr>
        <w:t xml:space="preserve"> 2013 California Green Building Standards Code, </w:t>
      </w:r>
      <w:r w:rsidRPr="00EA2E84">
        <w:rPr>
          <w:rFonts w:ascii="Calibri" w:hAnsi="Calibri"/>
          <w:i/>
        </w:rPr>
        <w:t>California Code of Regulations</w:t>
      </w:r>
      <w:r w:rsidRPr="00EA2E84">
        <w:rPr>
          <w:rFonts w:ascii="Calibri" w:hAnsi="Calibri"/>
        </w:rPr>
        <w:t>, Title 24, Part 11. pg. 1</w:t>
      </w:r>
    </w:p>
  </w:footnote>
  <w:footnote w:id="16">
    <w:p w:rsidR="006909BC" w:rsidRPr="00EA2E84" w:rsidRDefault="006909BC" w:rsidP="003A1285">
      <w:pPr>
        <w:pStyle w:val="FootnoteText"/>
        <w:rPr>
          <w:rFonts w:ascii="Calibri" w:hAnsi="Calibri"/>
        </w:rPr>
      </w:pPr>
      <w:r w:rsidRPr="00EA2E84">
        <w:rPr>
          <w:rStyle w:val="FootnoteReference"/>
          <w:rFonts w:ascii="Calibri" w:hAnsi="Calibri"/>
        </w:rPr>
        <w:footnoteRef/>
      </w:r>
      <w:r w:rsidRPr="00EA2E84">
        <w:rPr>
          <w:rFonts w:ascii="Calibri" w:hAnsi="Calibri"/>
        </w:rPr>
        <w:t xml:space="preserve"> State of California. Revision Record for the State of California: Supplement 2013 Title 24, Part 11, California Green Building Code. 1 July 2015. https://www.iccsafe.org/cs/codes/Errata/State/CA/5570S133.pdf. </w:t>
      </w:r>
    </w:p>
  </w:footnote>
  <w:footnote w:id="17">
    <w:p w:rsidR="006909BC" w:rsidRPr="00EA2E84" w:rsidRDefault="006909BC" w:rsidP="00524127">
      <w:pPr>
        <w:pStyle w:val="FootnoteText"/>
        <w:rPr>
          <w:rFonts w:ascii="Calibri" w:hAnsi="Calibri"/>
        </w:rPr>
      </w:pPr>
      <w:r w:rsidRPr="00EA2E84">
        <w:rPr>
          <w:rStyle w:val="FootnoteReference"/>
          <w:rFonts w:ascii="Calibri" w:hAnsi="Calibri"/>
        </w:rPr>
        <w:footnoteRef/>
      </w:r>
      <w:r w:rsidRPr="00EA2E84">
        <w:rPr>
          <w:rFonts w:ascii="Calibri" w:hAnsi="Calibri"/>
        </w:rPr>
        <w:t xml:space="preserve"> http://www.cafcp.org/stations/san_diego</w:t>
      </w:r>
    </w:p>
  </w:footnote>
  <w:footnote w:id="18">
    <w:p w:rsidR="006909BC" w:rsidRPr="007D1651" w:rsidRDefault="006909BC">
      <w:pPr>
        <w:pStyle w:val="FootnoteText"/>
        <w:rPr>
          <w:rFonts w:ascii="Calibri" w:hAnsi="Calibri"/>
        </w:rPr>
      </w:pPr>
      <w:r w:rsidRPr="007D1651">
        <w:rPr>
          <w:rStyle w:val="FootnoteReference"/>
          <w:rFonts w:ascii="Calibri" w:hAnsi="Calibri"/>
        </w:rPr>
        <w:footnoteRef/>
      </w:r>
      <w:r w:rsidRPr="007D1651">
        <w:rPr>
          <w:rFonts w:ascii="Calibri" w:hAnsi="Calibri"/>
        </w:rPr>
        <w:t xml:space="preserve"> http://www.afdc.energy.gov</w:t>
      </w:r>
    </w:p>
  </w:footnote>
  <w:footnote w:id="19">
    <w:p w:rsidR="006909BC" w:rsidRPr="00BB39A5" w:rsidRDefault="006909BC" w:rsidP="00BB39A5">
      <w:pPr>
        <w:pStyle w:val="FootnoteText"/>
        <w:rPr>
          <w:rFonts w:ascii="Calibri" w:hAnsi="Calibri"/>
        </w:rPr>
      </w:pPr>
      <w:r>
        <w:rPr>
          <w:rStyle w:val="FootnoteReference"/>
        </w:rPr>
        <w:footnoteRef/>
      </w:r>
      <w:r>
        <w:t xml:space="preserve"> </w:t>
      </w:r>
      <w:proofErr w:type="spellStart"/>
      <w:r w:rsidRPr="00BB39A5">
        <w:rPr>
          <w:rFonts w:ascii="Calibri" w:hAnsi="Calibri"/>
        </w:rPr>
        <w:t>Melaina</w:t>
      </w:r>
      <w:proofErr w:type="spellEnd"/>
      <w:r w:rsidRPr="00BB39A5">
        <w:rPr>
          <w:rFonts w:ascii="Calibri" w:hAnsi="Calibri"/>
        </w:rPr>
        <w:t xml:space="preserve">, Marc, Michael </w:t>
      </w:r>
      <w:proofErr w:type="spellStart"/>
      <w:r w:rsidRPr="00BB39A5">
        <w:rPr>
          <w:rFonts w:ascii="Calibri" w:hAnsi="Calibri"/>
        </w:rPr>
        <w:t>Helwig</w:t>
      </w:r>
      <w:proofErr w:type="spellEnd"/>
      <w:r w:rsidRPr="00BB39A5">
        <w:rPr>
          <w:rFonts w:ascii="Calibri" w:hAnsi="Calibri"/>
        </w:rPr>
        <w:t>. (National Renewable Energy Laboratory). 2014. California</w:t>
      </w:r>
    </w:p>
    <w:p w:rsidR="006909BC" w:rsidRPr="00BB39A5" w:rsidRDefault="006909BC" w:rsidP="00BB39A5">
      <w:pPr>
        <w:pStyle w:val="FootnoteText"/>
        <w:rPr>
          <w:rFonts w:ascii="Calibri" w:hAnsi="Calibri"/>
        </w:rPr>
      </w:pPr>
      <w:r w:rsidRPr="00BB39A5">
        <w:rPr>
          <w:rFonts w:ascii="Calibri" w:hAnsi="Calibri"/>
        </w:rPr>
        <w:t>Statewide Plug-In Electric Vehicle Infrastructure Assessment. California Energy</w:t>
      </w:r>
    </w:p>
    <w:p w:rsidR="006909BC" w:rsidRPr="006909BC" w:rsidRDefault="006909BC" w:rsidP="00BB39A5">
      <w:pPr>
        <w:pStyle w:val="FootnoteText"/>
        <w:rPr>
          <w:rFonts w:ascii="Calibri" w:hAnsi="Calibri"/>
        </w:rPr>
      </w:pPr>
      <w:r w:rsidRPr="00BB39A5">
        <w:rPr>
          <w:rFonts w:ascii="Calibri" w:hAnsi="Calibri"/>
        </w:rPr>
        <w:t>Commission. Publication Number: CEC-600-2014-003.</w:t>
      </w:r>
    </w:p>
  </w:footnote>
  <w:footnote w:id="20">
    <w:p w:rsidR="006909BC" w:rsidRPr="006909BC" w:rsidRDefault="006909BC">
      <w:pPr>
        <w:pStyle w:val="FootnoteText"/>
        <w:rPr>
          <w:rFonts w:ascii="Calibri" w:hAnsi="Calibri"/>
        </w:rPr>
      </w:pPr>
      <w:r w:rsidRPr="006909BC">
        <w:rPr>
          <w:rStyle w:val="FootnoteReference"/>
          <w:rFonts w:ascii="Calibri" w:hAnsi="Calibri"/>
        </w:rPr>
        <w:footnoteRef/>
      </w:r>
      <w:r w:rsidRPr="006909BC">
        <w:rPr>
          <w:rFonts w:ascii="Calibri" w:hAnsi="Calibri"/>
        </w:rPr>
        <w:t xml:space="preserve"> This is in a “high public access” scenario in which most charging would occur outside of the home. These numbers exclude workplace charging. </w:t>
      </w:r>
    </w:p>
  </w:footnote>
  <w:footnote w:id="21">
    <w:p w:rsidR="006909BC" w:rsidRPr="00EA2E84" w:rsidRDefault="006909BC" w:rsidP="00524127">
      <w:pPr>
        <w:pStyle w:val="FootnoteText"/>
        <w:rPr>
          <w:rFonts w:ascii="Calibri" w:hAnsi="Calibri"/>
        </w:rPr>
      </w:pPr>
      <w:r w:rsidRPr="00EA2E84">
        <w:rPr>
          <w:rStyle w:val="FootnoteReference"/>
          <w:rFonts w:ascii="Calibri" w:hAnsi="Calibri"/>
        </w:rPr>
        <w:footnoteRef/>
      </w:r>
      <w:r w:rsidRPr="00EA2E84">
        <w:rPr>
          <w:rFonts w:ascii="Calibri" w:hAnsi="Calibri"/>
        </w:rPr>
        <w:t xml:space="preserve"> America’s Natural Gas Alliance. </w:t>
      </w:r>
      <w:r w:rsidRPr="00EA2E84">
        <w:rPr>
          <w:rFonts w:ascii="Calibri" w:hAnsi="Calibri"/>
          <w:i/>
        </w:rPr>
        <w:t xml:space="preserve">U.S. and Canadian Natural Gas Vehicle Market Analysis: Compressed Natural Gas Infrastructure </w:t>
      </w:r>
      <w:r w:rsidRPr="00EA2E84">
        <w:rPr>
          <w:rFonts w:ascii="Calibri" w:hAnsi="Calibri"/>
        </w:rPr>
        <w:t>Final Report. http://www.anga.us/media/content/F7D3861D-9ADE-7964-0C27B6F29D0A662B/files/11_1803_anga_module5_cng_dd10.pdf</w:t>
      </w:r>
    </w:p>
  </w:footnote>
  <w:footnote w:id="22">
    <w:p w:rsidR="006909BC" w:rsidRPr="00EA2E84" w:rsidRDefault="006909BC" w:rsidP="00524127">
      <w:pPr>
        <w:pStyle w:val="FootnoteText"/>
        <w:rPr>
          <w:rFonts w:ascii="Calibri" w:hAnsi="Calibri"/>
        </w:rPr>
      </w:pPr>
      <w:r w:rsidRPr="00EA2E84">
        <w:rPr>
          <w:rStyle w:val="FootnoteReference"/>
          <w:rFonts w:ascii="Calibri" w:hAnsi="Calibri"/>
        </w:rPr>
        <w:footnoteRef/>
      </w:r>
      <w:r w:rsidRPr="00EA2E84">
        <w:rPr>
          <w:rFonts w:ascii="Calibri" w:hAnsi="Calibri"/>
        </w:rPr>
        <w:t xml:space="preserve"> Light-duty vehicle refers to vehicles whose Gross Vehicle Weight Rating (GVWR) does not exceed 14,000lbs. It includes trucks and passenger vehicles.</w:t>
      </w:r>
      <w:r>
        <w:rPr>
          <w:rFonts w:ascii="Calibri" w:hAnsi="Calibri"/>
        </w:rPr>
        <w:t xml:space="preserve"> </w:t>
      </w:r>
    </w:p>
  </w:footnote>
  <w:footnote w:id="23">
    <w:p w:rsidR="006909BC" w:rsidRPr="002E1FA2" w:rsidRDefault="006909BC" w:rsidP="00847CBA">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California Air Resources Board. 2014. </w:t>
      </w:r>
      <w:r w:rsidRPr="002E1FA2">
        <w:rPr>
          <w:rFonts w:ascii="Calibri" w:hAnsi="Calibri"/>
          <w:i/>
        </w:rPr>
        <w:t>Mobile Source Emission Inventory - EMFAC2011</w:t>
      </w:r>
      <w:r w:rsidRPr="002E1FA2">
        <w:rPr>
          <w:rFonts w:ascii="Calibri" w:hAnsi="Calibri"/>
        </w:rPr>
        <w:t>.</w:t>
      </w:r>
      <w:r w:rsidRPr="002E1FA2">
        <w:rPr>
          <w:rFonts w:ascii="Calibri" w:hAnsi="Calibri"/>
          <w:i/>
        </w:rPr>
        <w:t xml:space="preserve"> </w:t>
      </w:r>
      <w:r w:rsidRPr="002E1FA2">
        <w:rPr>
          <w:rFonts w:ascii="Calibri" w:hAnsi="Calibri"/>
        </w:rPr>
        <w:t>http://www.arb.ca.gov/emfac/.</w:t>
      </w:r>
      <w:r>
        <w:rPr>
          <w:rFonts w:ascii="Calibri" w:hAnsi="Calibri"/>
        </w:rPr>
        <w:t xml:space="preserve"> </w:t>
      </w:r>
    </w:p>
  </w:footnote>
  <w:footnote w:id="24">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Polk &amp; Auto Outlook, Inc. 2014. </w:t>
      </w:r>
      <w:r w:rsidRPr="002E1FA2">
        <w:rPr>
          <w:rFonts w:ascii="Calibri" w:hAnsi="Calibri"/>
          <w:i/>
        </w:rPr>
        <w:t>California Auto Outlook</w:t>
      </w:r>
      <w:r w:rsidRPr="002E1FA2">
        <w:rPr>
          <w:rFonts w:ascii="Calibri" w:hAnsi="Calibri"/>
        </w:rPr>
        <w:t>. http://www.cncda.org/CMS/Pubs/Cal_Covering_3Q_14.pdf</w:t>
      </w:r>
    </w:p>
  </w:footnote>
  <w:footnote w:id="25">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These numbers do not provide a complete representation of all fleets in San Diego County. </w:t>
      </w:r>
      <w:r>
        <w:rPr>
          <w:rFonts w:ascii="Calibri" w:hAnsi="Calibri"/>
        </w:rPr>
        <w:t xml:space="preserve">All information provided by fleets is voluntary and therefore, the data may be incomplete. SDRCCC stakeholders are fleets and organizations that </w:t>
      </w:r>
      <w:r w:rsidRPr="008F6536">
        <w:rPr>
          <w:rFonts w:ascii="Calibri" w:hAnsi="Calibri"/>
        </w:rPr>
        <w:t>have participated in Clean Cities events or are in regular communication with the Coalition, a</w:t>
      </w:r>
      <w:r w:rsidRPr="003A7EDC">
        <w:rPr>
          <w:rFonts w:ascii="Calibri" w:hAnsi="Calibri"/>
        </w:rPr>
        <w:t>nd</w:t>
      </w:r>
      <w:r>
        <w:rPr>
          <w:rFonts w:ascii="Calibri" w:hAnsi="Calibri"/>
        </w:rPr>
        <w:t xml:space="preserve"> have provided the Coalition with fleet data in its annual fleet questionnaire.  </w:t>
      </w:r>
    </w:p>
  </w:footnote>
  <w:footnote w:id="26">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American Public Transportation Association. 2013. “More than 35% of U.S. Public Transit Buses Use Alternative Fuels or Hybrid Technology.” American Public Transportation Association. http://www.apta.com/mediacenter/pressreleases/2013/Pages/130422_Earth-Day.aspx</w:t>
      </w:r>
    </w:p>
  </w:footnote>
  <w:footnote w:id="27">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As of 22 Jan</w:t>
      </w:r>
      <w:r>
        <w:rPr>
          <w:rFonts w:ascii="Calibri" w:hAnsi="Calibri"/>
        </w:rPr>
        <w:t>uary</w:t>
      </w:r>
      <w:r w:rsidRPr="002E1FA2">
        <w:rPr>
          <w:rFonts w:ascii="Calibri" w:hAnsi="Calibri"/>
        </w:rPr>
        <w:t xml:space="preserve"> 2015</w:t>
      </w:r>
    </w:p>
  </w:footnote>
  <w:footnote w:id="28">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California Air Resources Board. 2014. </w:t>
      </w:r>
      <w:r w:rsidRPr="002E1FA2">
        <w:rPr>
          <w:rFonts w:ascii="Calibri" w:hAnsi="Calibri"/>
          <w:i/>
        </w:rPr>
        <w:t>Mobile Source Emission Inventory - EMFAC2011</w:t>
      </w:r>
      <w:r w:rsidRPr="002E1FA2">
        <w:rPr>
          <w:rFonts w:ascii="Calibri" w:hAnsi="Calibri"/>
        </w:rPr>
        <w:t>.</w:t>
      </w:r>
      <w:r w:rsidRPr="002E1FA2">
        <w:rPr>
          <w:rFonts w:ascii="Calibri" w:hAnsi="Calibri"/>
          <w:i/>
        </w:rPr>
        <w:t xml:space="preserve"> </w:t>
      </w:r>
      <w:r w:rsidRPr="002E1FA2">
        <w:rPr>
          <w:rFonts w:ascii="Calibri" w:hAnsi="Calibri"/>
        </w:rPr>
        <w:t>http://www.arb.ca.gov/emfac/.</w:t>
      </w:r>
      <w:r>
        <w:rPr>
          <w:rFonts w:ascii="Calibri" w:hAnsi="Calibri"/>
        </w:rPr>
        <w:t xml:space="preserve"> </w:t>
      </w:r>
    </w:p>
  </w:footnote>
  <w:footnote w:id="29">
    <w:p w:rsidR="006909BC" w:rsidRPr="00527EE8" w:rsidRDefault="006909BC" w:rsidP="00524127">
      <w:pPr>
        <w:pStyle w:val="FootnoteText"/>
        <w:rPr>
          <w:rFonts w:ascii="Calibri" w:hAnsi="Calibri"/>
        </w:rPr>
      </w:pPr>
      <w:r w:rsidRPr="00527EE8">
        <w:rPr>
          <w:rStyle w:val="FootnoteReference"/>
          <w:rFonts w:ascii="Calibri" w:hAnsi="Calibri"/>
        </w:rPr>
        <w:footnoteRef/>
      </w:r>
      <w:r w:rsidRPr="00527EE8">
        <w:rPr>
          <w:rFonts w:ascii="Calibri" w:hAnsi="Calibri"/>
        </w:rPr>
        <w:t xml:space="preserve"> http://www.energy.ca.gov/drive/</w:t>
      </w:r>
    </w:p>
  </w:footnote>
  <w:footnote w:id="30">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The Electric Transportation Engineering Corporation. 2013. </w:t>
      </w:r>
      <w:r w:rsidRPr="002E1FA2">
        <w:rPr>
          <w:rFonts w:ascii="Calibri" w:hAnsi="Calibri"/>
          <w:i/>
        </w:rPr>
        <w:t>Q2 2013 Report: The EV Project</w:t>
      </w:r>
      <w:r w:rsidRPr="002E1FA2">
        <w:rPr>
          <w:rFonts w:ascii="Calibri" w:hAnsi="Calibri"/>
        </w:rPr>
        <w:t>. http://www.theevproject.com/cms-assets/documents/127233-901153.q2-2013-rpt.pdf.</w:t>
      </w:r>
    </w:p>
  </w:footnote>
  <w:footnote w:id="31">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California Energy Commission. 2012. “CPUC Files Settlement That Will Bring Electric Vehicle Charging Infrastructure to California’s Diverse Communities.” http://docs.cpuc.ca.gov/PUBLISHED/NEWS_RELEASE/165145.htm</w:t>
      </w:r>
    </w:p>
  </w:footnote>
  <w:footnote w:id="32">
    <w:p w:rsidR="006909BC" w:rsidRPr="002E1FA2" w:rsidRDefault="006909BC" w:rsidP="00524127">
      <w:pPr>
        <w:pStyle w:val="FootnoteText"/>
        <w:rPr>
          <w:rFonts w:ascii="Calibri" w:hAnsi="Calibri"/>
        </w:rPr>
      </w:pPr>
      <w:r w:rsidRPr="002E1FA2">
        <w:rPr>
          <w:rStyle w:val="FootnoteReference"/>
          <w:rFonts w:ascii="Calibri" w:hAnsi="Calibri"/>
        </w:rPr>
        <w:footnoteRef/>
      </w:r>
      <w:r w:rsidRPr="002E1FA2">
        <w:rPr>
          <w:rFonts w:ascii="Calibri" w:hAnsi="Calibri"/>
        </w:rPr>
        <w:t xml:space="preserve"> Center for Sustainable Energy. 2013. </w:t>
      </w:r>
      <w:r w:rsidRPr="002E1FA2">
        <w:rPr>
          <w:rFonts w:ascii="Calibri" w:hAnsi="Calibri"/>
          <w:i/>
        </w:rPr>
        <w:t>Needs Assessment of Alternative Fuel Vehicle Training in California</w:t>
      </w:r>
      <w:r w:rsidRPr="002E1FA2">
        <w:rPr>
          <w:rFonts w:ascii="Calibri" w:hAnsi="Calibri"/>
        </w:rPr>
        <w:t xml:space="preserve">. http://energycenter.org/sites/default/files/docs/nav/policy/research-and-reports/needs-assessment_for_AFC_training.pdf </w:t>
      </w:r>
    </w:p>
  </w:footnote>
  <w:footnote w:id="33">
    <w:p w:rsidR="006909BC" w:rsidRPr="007D1651" w:rsidRDefault="006909BC">
      <w:pPr>
        <w:pStyle w:val="FootnoteText"/>
        <w:rPr>
          <w:rFonts w:ascii="Calibri" w:hAnsi="Calibri"/>
        </w:rPr>
      </w:pPr>
      <w:r w:rsidRPr="007D1651">
        <w:rPr>
          <w:rStyle w:val="FootnoteReference"/>
          <w:rFonts w:ascii="Calibri" w:hAnsi="Calibri"/>
        </w:rPr>
        <w:footnoteRef/>
      </w:r>
      <w:r w:rsidRPr="007D1651">
        <w:rPr>
          <w:rFonts w:ascii="Calibri" w:hAnsi="Calibri"/>
        </w:rPr>
        <w:t xml:space="preserve"> EMFAC is a modeling tool created by the California Air Resources Board, which allows for the estimation of emissions from on-road vehicles.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151462"/>
      <w:docPartObj>
        <w:docPartGallery w:val="Watermarks"/>
        <w:docPartUnique/>
      </w:docPartObj>
    </w:sdtPr>
    <w:sdtEndPr/>
    <w:sdtContent>
      <w:p w:rsidR="006909BC" w:rsidRDefault="00F949F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6BA"/>
    <w:multiLevelType w:val="hybridMultilevel"/>
    <w:tmpl w:val="7284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40585"/>
    <w:multiLevelType w:val="hybridMultilevel"/>
    <w:tmpl w:val="C9C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B2585"/>
    <w:multiLevelType w:val="hybridMultilevel"/>
    <w:tmpl w:val="2D0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736C"/>
    <w:multiLevelType w:val="hybridMultilevel"/>
    <w:tmpl w:val="9FF6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71235"/>
    <w:multiLevelType w:val="hybridMultilevel"/>
    <w:tmpl w:val="6FF80D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05388C"/>
    <w:multiLevelType w:val="hybridMultilevel"/>
    <w:tmpl w:val="1B32A992"/>
    <w:lvl w:ilvl="0" w:tplc="593CD40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6">
    <w:nsid w:val="154C281C"/>
    <w:multiLevelType w:val="hybridMultilevel"/>
    <w:tmpl w:val="0812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C024F"/>
    <w:multiLevelType w:val="hybridMultilevel"/>
    <w:tmpl w:val="656EC9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1F2A20"/>
    <w:multiLevelType w:val="hybridMultilevel"/>
    <w:tmpl w:val="0D302AC4"/>
    <w:lvl w:ilvl="0" w:tplc="93C8D0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42844"/>
    <w:multiLevelType w:val="hybridMultilevel"/>
    <w:tmpl w:val="EE12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E293B"/>
    <w:multiLevelType w:val="hybridMultilevel"/>
    <w:tmpl w:val="DAE07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CA3E18"/>
    <w:multiLevelType w:val="hybridMultilevel"/>
    <w:tmpl w:val="9B1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07D0B"/>
    <w:multiLevelType w:val="hybridMultilevel"/>
    <w:tmpl w:val="D28E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44866"/>
    <w:multiLevelType w:val="hybridMultilevel"/>
    <w:tmpl w:val="45E6E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7E6C71"/>
    <w:multiLevelType w:val="hybridMultilevel"/>
    <w:tmpl w:val="F390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E72150"/>
    <w:multiLevelType w:val="hybridMultilevel"/>
    <w:tmpl w:val="707E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8E4170"/>
    <w:multiLevelType w:val="hybridMultilevel"/>
    <w:tmpl w:val="3B8CC50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nsid w:val="5EA06917"/>
    <w:multiLevelType w:val="hybridMultilevel"/>
    <w:tmpl w:val="D5E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1D1CE5"/>
    <w:multiLevelType w:val="hybridMultilevel"/>
    <w:tmpl w:val="785C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6182E"/>
    <w:multiLevelType w:val="hybridMultilevel"/>
    <w:tmpl w:val="2E5CCD54"/>
    <w:lvl w:ilvl="0" w:tplc="6C28CD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F97985"/>
    <w:multiLevelType w:val="hybridMultilevel"/>
    <w:tmpl w:val="8DC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1656E21"/>
    <w:multiLevelType w:val="hybridMultilevel"/>
    <w:tmpl w:val="7E4E1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FC1546"/>
    <w:multiLevelType w:val="hybridMultilevel"/>
    <w:tmpl w:val="953C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6F6BDA"/>
    <w:multiLevelType w:val="hybridMultilevel"/>
    <w:tmpl w:val="9BF8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49245F"/>
    <w:multiLevelType w:val="hybridMultilevel"/>
    <w:tmpl w:val="0C2E9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793BB0"/>
    <w:multiLevelType w:val="hybridMultilevel"/>
    <w:tmpl w:val="0A501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BF4AD2"/>
    <w:multiLevelType w:val="hybridMultilevel"/>
    <w:tmpl w:val="451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3"/>
  </w:num>
  <w:num w:numId="4">
    <w:abstractNumId w:val="11"/>
  </w:num>
  <w:num w:numId="5">
    <w:abstractNumId w:val="7"/>
  </w:num>
  <w:num w:numId="6">
    <w:abstractNumId w:val="8"/>
  </w:num>
  <w:num w:numId="7">
    <w:abstractNumId w:val="15"/>
  </w:num>
  <w:num w:numId="8">
    <w:abstractNumId w:val="4"/>
  </w:num>
  <w:num w:numId="9">
    <w:abstractNumId w:val="10"/>
  </w:num>
  <w:num w:numId="10">
    <w:abstractNumId w:val="14"/>
  </w:num>
  <w:num w:numId="11">
    <w:abstractNumId w:val="24"/>
  </w:num>
  <w:num w:numId="12">
    <w:abstractNumId w:val="21"/>
  </w:num>
  <w:num w:numId="13">
    <w:abstractNumId w:val="20"/>
  </w:num>
  <w:num w:numId="14">
    <w:abstractNumId w:val="17"/>
  </w:num>
  <w:num w:numId="15">
    <w:abstractNumId w:val="16"/>
  </w:num>
  <w:num w:numId="16">
    <w:abstractNumId w:val="5"/>
  </w:num>
  <w:num w:numId="17">
    <w:abstractNumId w:val="9"/>
  </w:num>
  <w:num w:numId="18">
    <w:abstractNumId w:val="3"/>
  </w:num>
  <w:num w:numId="19">
    <w:abstractNumId w:val="2"/>
  </w:num>
  <w:num w:numId="20">
    <w:abstractNumId w:val="0"/>
  </w:num>
  <w:num w:numId="21">
    <w:abstractNumId w:val="6"/>
  </w:num>
  <w:num w:numId="22">
    <w:abstractNumId w:val="26"/>
  </w:num>
  <w:num w:numId="23">
    <w:abstractNumId w:val="12"/>
  </w:num>
  <w:num w:numId="24">
    <w:abstractNumId w:val="18"/>
  </w:num>
  <w:num w:numId="25">
    <w:abstractNumId w:val="22"/>
  </w:num>
  <w:num w:numId="26">
    <w:abstractNumId w:val="1"/>
  </w:num>
  <w:num w:numId="2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EA"/>
    <w:rsid w:val="00000ABA"/>
    <w:rsid w:val="000010B5"/>
    <w:rsid w:val="00001960"/>
    <w:rsid w:val="00002B73"/>
    <w:rsid w:val="000035D3"/>
    <w:rsid w:val="00003F7C"/>
    <w:rsid w:val="000072E1"/>
    <w:rsid w:val="00010A13"/>
    <w:rsid w:val="00010D7F"/>
    <w:rsid w:val="000122A9"/>
    <w:rsid w:val="000131EC"/>
    <w:rsid w:val="000146E0"/>
    <w:rsid w:val="00015055"/>
    <w:rsid w:val="00017E04"/>
    <w:rsid w:val="000204EF"/>
    <w:rsid w:val="00021353"/>
    <w:rsid w:val="00022FB0"/>
    <w:rsid w:val="0002459B"/>
    <w:rsid w:val="00025AE9"/>
    <w:rsid w:val="0002637F"/>
    <w:rsid w:val="00027169"/>
    <w:rsid w:val="0002783C"/>
    <w:rsid w:val="00031359"/>
    <w:rsid w:val="000327C9"/>
    <w:rsid w:val="00032C2B"/>
    <w:rsid w:val="00033466"/>
    <w:rsid w:val="00033652"/>
    <w:rsid w:val="00034A29"/>
    <w:rsid w:val="00035779"/>
    <w:rsid w:val="00035A05"/>
    <w:rsid w:val="000363D5"/>
    <w:rsid w:val="00036C05"/>
    <w:rsid w:val="000403FA"/>
    <w:rsid w:val="00042B38"/>
    <w:rsid w:val="00042D1D"/>
    <w:rsid w:val="000445E8"/>
    <w:rsid w:val="00051945"/>
    <w:rsid w:val="0005256F"/>
    <w:rsid w:val="00052D35"/>
    <w:rsid w:val="0005363A"/>
    <w:rsid w:val="000536AB"/>
    <w:rsid w:val="000555D5"/>
    <w:rsid w:val="000562C8"/>
    <w:rsid w:val="00056D00"/>
    <w:rsid w:val="000612C1"/>
    <w:rsid w:val="000655A3"/>
    <w:rsid w:val="00066196"/>
    <w:rsid w:val="00066847"/>
    <w:rsid w:val="00066CD4"/>
    <w:rsid w:val="00067B32"/>
    <w:rsid w:val="00070D03"/>
    <w:rsid w:val="0007356B"/>
    <w:rsid w:val="00074C96"/>
    <w:rsid w:val="00075C10"/>
    <w:rsid w:val="0007644E"/>
    <w:rsid w:val="00076C09"/>
    <w:rsid w:val="000777F3"/>
    <w:rsid w:val="00080DBF"/>
    <w:rsid w:val="00084C8A"/>
    <w:rsid w:val="000865F5"/>
    <w:rsid w:val="00086DAA"/>
    <w:rsid w:val="00090661"/>
    <w:rsid w:val="00090DE2"/>
    <w:rsid w:val="000912C5"/>
    <w:rsid w:val="00091731"/>
    <w:rsid w:val="0009310B"/>
    <w:rsid w:val="000944E4"/>
    <w:rsid w:val="00095161"/>
    <w:rsid w:val="00095270"/>
    <w:rsid w:val="00097F27"/>
    <w:rsid w:val="000A2153"/>
    <w:rsid w:val="000A2AE3"/>
    <w:rsid w:val="000A3DD7"/>
    <w:rsid w:val="000A5134"/>
    <w:rsid w:val="000B10B9"/>
    <w:rsid w:val="000B18B0"/>
    <w:rsid w:val="000B1A8A"/>
    <w:rsid w:val="000B1D55"/>
    <w:rsid w:val="000B5E27"/>
    <w:rsid w:val="000B6E46"/>
    <w:rsid w:val="000C1CD5"/>
    <w:rsid w:val="000C2556"/>
    <w:rsid w:val="000C40A8"/>
    <w:rsid w:val="000D0655"/>
    <w:rsid w:val="000D1D0D"/>
    <w:rsid w:val="000D22F4"/>
    <w:rsid w:val="000D4FA7"/>
    <w:rsid w:val="000D5316"/>
    <w:rsid w:val="000D71F9"/>
    <w:rsid w:val="000E0931"/>
    <w:rsid w:val="000E0EFA"/>
    <w:rsid w:val="000E22BB"/>
    <w:rsid w:val="000E230E"/>
    <w:rsid w:val="000E3580"/>
    <w:rsid w:val="000E4E14"/>
    <w:rsid w:val="000E5895"/>
    <w:rsid w:val="000E6770"/>
    <w:rsid w:val="000E7538"/>
    <w:rsid w:val="000E7E08"/>
    <w:rsid w:val="000F1709"/>
    <w:rsid w:val="000F2EA9"/>
    <w:rsid w:val="000F4811"/>
    <w:rsid w:val="000F4FFA"/>
    <w:rsid w:val="001043C8"/>
    <w:rsid w:val="001051AA"/>
    <w:rsid w:val="00105B04"/>
    <w:rsid w:val="00110A9C"/>
    <w:rsid w:val="001125A7"/>
    <w:rsid w:val="00114843"/>
    <w:rsid w:val="0012035E"/>
    <w:rsid w:val="001215FB"/>
    <w:rsid w:val="00121F44"/>
    <w:rsid w:val="00124AA4"/>
    <w:rsid w:val="00127CCC"/>
    <w:rsid w:val="00132A09"/>
    <w:rsid w:val="0013773F"/>
    <w:rsid w:val="00137F32"/>
    <w:rsid w:val="00140872"/>
    <w:rsid w:val="00140BCD"/>
    <w:rsid w:val="00140D0D"/>
    <w:rsid w:val="0014442C"/>
    <w:rsid w:val="001466C6"/>
    <w:rsid w:val="0015305E"/>
    <w:rsid w:val="001542D7"/>
    <w:rsid w:val="001575B7"/>
    <w:rsid w:val="00161905"/>
    <w:rsid w:val="001643A0"/>
    <w:rsid w:val="00167524"/>
    <w:rsid w:val="00170D0A"/>
    <w:rsid w:val="00170DFE"/>
    <w:rsid w:val="00173EA3"/>
    <w:rsid w:val="00175666"/>
    <w:rsid w:val="0017599F"/>
    <w:rsid w:val="001776C2"/>
    <w:rsid w:val="00177F7D"/>
    <w:rsid w:val="0018140E"/>
    <w:rsid w:val="00181454"/>
    <w:rsid w:val="00185DEB"/>
    <w:rsid w:val="001871B6"/>
    <w:rsid w:val="00194779"/>
    <w:rsid w:val="001A3A8D"/>
    <w:rsid w:val="001A3B58"/>
    <w:rsid w:val="001A6059"/>
    <w:rsid w:val="001B065A"/>
    <w:rsid w:val="001B3764"/>
    <w:rsid w:val="001B3DF5"/>
    <w:rsid w:val="001B557F"/>
    <w:rsid w:val="001B764D"/>
    <w:rsid w:val="001C0FF1"/>
    <w:rsid w:val="001C1800"/>
    <w:rsid w:val="001C2D57"/>
    <w:rsid w:val="001C5F14"/>
    <w:rsid w:val="001C6C7B"/>
    <w:rsid w:val="001C6CD7"/>
    <w:rsid w:val="001D0F19"/>
    <w:rsid w:val="001D2187"/>
    <w:rsid w:val="001D4E54"/>
    <w:rsid w:val="001D584C"/>
    <w:rsid w:val="001E0B0F"/>
    <w:rsid w:val="001E1D44"/>
    <w:rsid w:val="001E2FA5"/>
    <w:rsid w:val="001E4110"/>
    <w:rsid w:val="001E5360"/>
    <w:rsid w:val="001E6C89"/>
    <w:rsid w:val="001F0C9D"/>
    <w:rsid w:val="001F1619"/>
    <w:rsid w:val="001F3F4C"/>
    <w:rsid w:val="001F4CBC"/>
    <w:rsid w:val="001F675B"/>
    <w:rsid w:val="001F7CBB"/>
    <w:rsid w:val="00202A6D"/>
    <w:rsid w:val="00202D6F"/>
    <w:rsid w:val="00207B8D"/>
    <w:rsid w:val="00210923"/>
    <w:rsid w:val="00210A62"/>
    <w:rsid w:val="00212987"/>
    <w:rsid w:val="00213342"/>
    <w:rsid w:val="002138F6"/>
    <w:rsid w:val="002218C8"/>
    <w:rsid w:val="00221E2D"/>
    <w:rsid w:val="00222000"/>
    <w:rsid w:val="0022346D"/>
    <w:rsid w:val="0022654F"/>
    <w:rsid w:val="00226ED3"/>
    <w:rsid w:val="00231214"/>
    <w:rsid w:val="0023227A"/>
    <w:rsid w:val="0023341E"/>
    <w:rsid w:val="00233DB5"/>
    <w:rsid w:val="00240210"/>
    <w:rsid w:val="002402DD"/>
    <w:rsid w:val="00240B00"/>
    <w:rsid w:val="0024355F"/>
    <w:rsid w:val="00243AB0"/>
    <w:rsid w:val="002440D4"/>
    <w:rsid w:val="002447DF"/>
    <w:rsid w:val="002461F8"/>
    <w:rsid w:val="00247043"/>
    <w:rsid w:val="002512F3"/>
    <w:rsid w:val="002528F2"/>
    <w:rsid w:val="00253362"/>
    <w:rsid w:val="002575E9"/>
    <w:rsid w:val="00261066"/>
    <w:rsid w:val="00261942"/>
    <w:rsid w:val="00262E36"/>
    <w:rsid w:val="00263672"/>
    <w:rsid w:val="00264179"/>
    <w:rsid w:val="002642E8"/>
    <w:rsid w:val="0027010D"/>
    <w:rsid w:val="00272B3A"/>
    <w:rsid w:val="0027499F"/>
    <w:rsid w:val="0027514A"/>
    <w:rsid w:val="00275E0E"/>
    <w:rsid w:val="00276457"/>
    <w:rsid w:val="00277A3D"/>
    <w:rsid w:val="002806D2"/>
    <w:rsid w:val="00282600"/>
    <w:rsid w:val="002848F3"/>
    <w:rsid w:val="00285627"/>
    <w:rsid w:val="002860A7"/>
    <w:rsid w:val="0028683C"/>
    <w:rsid w:val="00287A6B"/>
    <w:rsid w:val="00287F2E"/>
    <w:rsid w:val="002907F2"/>
    <w:rsid w:val="00290948"/>
    <w:rsid w:val="002923F7"/>
    <w:rsid w:val="00293B13"/>
    <w:rsid w:val="00294BF6"/>
    <w:rsid w:val="002A00EA"/>
    <w:rsid w:val="002A2E86"/>
    <w:rsid w:val="002A40A5"/>
    <w:rsid w:val="002A46E7"/>
    <w:rsid w:val="002A52AC"/>
    <w:rsid w:val="002A57FE"/>
    <w:rsid w:val="002A5EF6"/>
    <w:rsid w:val="002A6FC4"/>
    <w:rsid w:val="002B0CB9"/>
    <w:rsid w:val="002B1931"/>
    <w:rsid w:val="002B199F"/>
    <w:rsid w:val="002B1FD7"/>
    <w:rsid w:val="002B2340"/>
    <w:rsid w:val="002B47DF"/>
    <w:rsid w:val="002B49F4"/>
    <w:rsid w:val="002B5358"/>
    <w:rsid w:val="002B63D6"/>
    <w:rsid w:val="002B6E44"/>
    <w:rsid w:val="002B73E5"/>
    <w:rsid w:val="002C17BD"/>
    <w:rsid w:val="002C1863"/>
    <w:rsid w:val="002C20C8"/>
    <w:rsid w:val="002C24B3"/>
    <w:rsid w:val="002C3597"/>
    <w:rsid w:val="002C46AB"/>
    <w:rsid w:val="002C4A79"/>
    <w:rsid w:val="002C7703"/>
    <w:rsid w:val="002D03AC"/>
    <w:rsid w:val="002D1284"/>
    <w:rsid w:val="002D1D0A"/>
    <w:rsid w:val="002D51E0"/>
    <w:rsid w:val="002D5811"/>
    <w:rsid w:val="002D6186"/>
    <w:rsid w:val="002E0319"/>
    <w:rsid w:val="002E0474"/>
    <w:rsid w:val="002E0971"/>
    <w:rsid w:val="002E1C52"/>
    <w:rsid w:val="002E1FA2"/>
    <w:rsid w:val="002F0211"/>
    <w:rsid w:val="002F11E2"/>
    <w:rsid w:val="002F327E"/>
    <w:rsid w:val="002F32FE"/>
    <w:rsid w:val="002F3D8D"/>
    <w:rsid w:val="002F51FA"/>
    <w:rsid w:val="002F6555"/>
    <w:rsid w:val="002F74BE"/>
    <w:rsid w:val="002F7EE8"/>
    <w:rsid w:val="00303606"/>
    <w:rsid w:val="0030526C"/>
    <w:rsid w:val="003063A8"/>
    <w:rsid w:val="00306EE6"/>
    <w:rsid w:val="00307BD5"/>
    <w:rsid w:val="00310C92"/>
    <w:rsid w:val="003118A7"/>
    <w:rsid w:val="00312AE2"/>
    <w:rsid w:val="00312D38"/>
    <w:rsid w:val="00314142"/>
    <w:rsid w:val="00314801"/>
    <w:rsid w:val="003155B5"/>
    <w:rsid w:val="00315785"/>
    <w:rsid w:val="003160AB"/>
    <w:rsid w:val="00321682"/>
    <w:rsid w:val="003219A2"/>
    <w:rsid w:val="00325365"/>
    <w:rsid w:val="003267D3"/>
    <w:rsid w:val="003273DB"/>
    <w:rsid w:val="003278E7"/>
    <w:rsid w:val="00331016"/>
    <w:rsid w:val="00332785"/>
    <w:rsid w:val="00332CC8"/>
    <w:rsid w:val="00333493"/>
    <w:rsid w:val="00334125"/>
    <w:rsid w:val="0033680F"/>
    <w:rsid w:val="00337FD6"/>
    <w:rsid w:val="00341DB3"/>
    <w:rsid w:val="003425A8"/>
    <w:rsid w:val="0034280C"/>
    <w:rsid w:val="00342843"/>
    <w:rsid w:val="00345EFF"/>
    <w:rsid w:val="0035097A"/>
    <w:rsid w:val="00353BD0"/>
    <w:rsid w:val="003558D5"/>
    <w:rsid w:val="0035604C"/>
    <w:rsid w:val="003568AB"/>
    <w:rsid w:val="00360308"/>
    <w:rsid w:val="00362C38"/>
    <w:rsid w:val="00364B80"/>
    <w:rsid w:val="00366047"/>
    <w:rsid w:val="003677C8"/>
    <w:rsid w:val="00370933"/>
    <w:rsid w:val="003834CD"/>
    <w:rsid w:val="003834D9"/>
    <w:rsid w:val="00383E76"/>
    <w:rsid w:val="00385A5F"/>
    <w:rsid w:val="003915DA"/>
    <w:rsid w:val="00392D92"/>
    <w:rsid w:val="00396DDC"/>
    <w:rsid w:val="003A054A"/>
    <w:rsid w:val="003A087D"/>
    <w:rsid w:val="003A1285"/>
    <w:rsid w:val="003A2BDF"/>
    <w:rsid w:val="003A7EDC"/>
    <w:rsid w:val="003B0221"/>
    <w:rsid w:val="003B11A1"/>
    <w:rsid w:val="003B4294"/>
    <w:rsid w:val="003B43C5"/>
    <w:rsid w:val="003B4ADB"/>
    <w:rsid w:val="003B5AA1"/>
    <w:rsid w:val="003B5BB4"/>
    <w:rsid w:val="003B77FF"/>
    <w:rsid w:val="003B7FAD"/>
    <w:rsid w:val="003C0660"/>
    <w:rsid w:val="003C4A1F"/>
    <w:rsid w:val="003C5AD9"/>
    <w:rsid w:val="003C5F9E"/>
    <w:rsid w:val="003C6B83"/>
    <w:rsid w:val="003D1B33"/>
    <w:rsid w:val="003D1EE1"/>
    <w:rsid w:val="003D2612"/>
    <w:rsid w:val="003D263D"/>
    <w:rsid w:val="003D45AB"/>
    <w:rsid w:val="003D5611"/>
    <w:rsid w:val="003E0FAC"/>
    <w:rsid w:val="003E3601"/>
    <w:rsid w:val="003E3B38"/>
    <w:rsid w:val="003E40B9"/>
    <w:rsid w:val="003E43B1"/>
    <w:rsid w:val="003E4FBE"/>
    <w:rsid w:val="003E5AF3"/>
    <w:rsid w:val="003E723F"/>
    <w:rsid w:val="003E7891"/>
    <w:rsid w:val="003E7EC3"/>
    <w:rsid w:val="003F0BDE"/>
    <w:rsid w:val="003F1637"/>
    <w:rsid w:val="003F3CD2"/>
    <w:rsid w:val="003F3CF9"/>
    <w:rsid w:val="003F4DB7"/>
    <w:rsid w:val="00400FBF"/>
    <w:rsid w:val="0040207E"/>
    <w:rsid w:val="00402E8C"/>
    <w:rsid w:val="0040401D"/>
    <w:rsid w:val="00404308"/>
    <w:rsid w:val="004043E4"/>
    <w:rsid w:val="004073C6"/>
    <w:rsid w:val="004118E0"/>
    <w:rsid w:val="00412B1D"/>
    <w:rsid w:val="00413D7C"/>
    <w:rsid w:val="00414BAD"/>
    <w:rsid w:val="004157BF"/>
    <w:rsid w:val="0041764E"/>
    <w:rsid w:val="004242AB"/>
    <w:rsid w:val="0042496D"/>
    <w:rsid w:val="00425336"/>
    <w:rsid w:val="0042557C"/>
    <w:rsid w:val="00427783"/>
    <w:rsid w:val="00431802"/>
    <w:rsid w:val="0043206E"/>
    <w:rsid w:val="004322CE"/>
    <w:rsid w:val="004336B4"/>
    <w:rsid w:val="00434173"/>
    <w:rsid w:val="00434341"/>
    <w:rsid w:val="00435464"/>
    <w:rsid w:val="004359B9"/>
    <w:rsid w:val="00440341"/>
    <w:rsid w:val="00440745"/>
    <w:rsid w:val="00444055"/>
    <w:rsid w:val="004460D9"/>
    <w:rsid w:val="004473B6"/>
    <w:rsid w:val="00447CCF"/>
    <w:rsid w:val="00450BAD"/>
    <w:rsid w:val="00450E82"/>
    <w:rsid w:val="00451661"/>
    <w:rsid w:val="004536BD"/>
    <w:rsid w:val="00456057"/>
    <w:rsid w:val="00456626"/>
    <w:rsid w:val="00456941"/>
    <w:rsid w:val="004578BA"/>
    <w:rsid w:val="00463C43"/>
    <w:rsid w:val="00470A06"/>
    <w:rsid w:val="00470F4F"/>
    <w:rsid w:val="004733DA"/>
    <w:rsid w:val="00473DF3"/>
    <w:rsid w:val="0047460B"/>
    <w:rsid w:val="00475905"/>
    <w:rsid w:val="00476D51"/>
    <w:rsid w:val="00477412"/>
    <w:rsid w:val="00480C20"/>
    <w:rsid w:val="004837B9"/>
    <w:rsid w:val="00484CF2"/>
    <w:rsid w:val="00486683"/>
    <w:rsid w:val="00491DE0"/>
    <w:rsid w:val="004930AF"/>
    <w:rsid w:val="00493E46"/>
    <w:rsid w:val="00494976"/>
    <w:rsid w:val="00494A46"/>
    <w:rsid w:val="00495539"/>
    <w:rsid w:val="004963FC"/>
    <w:rsid w:val="004A131A"/>
    <w:rsid w:val="004A2077"/>
    <w:rsid w:val="004A248C"/>
    <w:rsid w:val="004A49FE"/>
    <w:rsid w:val="004A6A48"/>
    <w:rsid w:val="004A7DE1"/>
    <w:rsid w:val="004B0264"/>
    <w:rsid w:val="004B0940"/>
    <w:rsid w:val="004B0C70"/>
    <w:rsid w:val="004B2CBF"/>
    <w:rsid w:val="004B510B"/>
    <w:rsid w:val="004C3506"/>
    <w:rsid w:val="004C35B7"/>
    <w:rsid w:val="004C42C6"/>
    <w:rsid w:val="004C507E"/>
    <w:rsid w:val="004C5086"/>
    <w:rsid w:val="004C5143"/>
    <w:rsid w:val="004C536C"/>
    <w:rsid w:val="004C5B82"/>
    <w:rsid w:val="004D0A87"/>
    <w:rsid w:val="004D0EAC"/>
    <w:rsid w:val="004D1490"/>
    <w:rsid w:val="004D1E15"/>
    <w:rsid w:val="004D2B10"/>
    <w:rsid w:val="004D4268"/>
    <w:rsid w:val="004D6CDB"/>
    <w:rsid w:val="004D7346"/>
    <w:rsid w:val="004E0845"/>
    <w:rsid w:val="004E0B2F"/>
    <w:rsid w:val="004E136A"/>
    <w:rsid w:val="004E1548"/>
    <w:rsid w:val="004E1D52"/>
    <w:rsid w:val="004E29B2"/>
    <w:rsid w:val="004E3999"/>
    <w:rsid w:val="004F0B93"/>
    <w:rsid w:val="004F1E52"/>
    <w:rsid w:val="004F27D2"/>
    <w:rsid w:val="004F3BED"/>
    <w:rsid w:val="004F4A28"/>
    <w:rsid w:val="004F5B50"/>
    <w:rsid w:val="004F64BF"/>
    <w:rsid w:val="004F733A"/>
    <w:rsid w:val="00503590"/>
    <w:rsid w:val="005039DE"/>
    <w:rsid w:val="00507C2F"/>
    <w:rsid w:val="00510C2C"/>
    <w:rsid w:val="00510E81"/>
    <w:rsid w:val="005112B6"/>
    <w:rsid w:val="005116FF"/>
    <w:rsid w:val="00511B2A"/>
    <w:rsid w:val="0051208B"/>
    <w:rsid w:val="00512258"/>
    <w:rsid w:val="00512BBE"/>
    <w:rsid w:val="00514D3F"/>
    <w:rsid w:val="005176D9"/>
    <w:rsid w:val="00520A71"/>
    <w:rsid w:val="00522C1D"/>
    <w:rsid w:val="0052308E"/>
    <w:rsid w:val="00524127"/>
    <w:rsid w:val="00525373"/>
    <w:rsid w:val="00525F93"/>
    <w:rsid w:val="005277F0"/>
    <w:rsid w:val="00527EE8"/>
    <w:rsid w:val="005332A3"/>
    <w:rsid w:val="005364A6"/>
    <w:rsid w:val="005405DA"/>
    <w:rsid w:val="00541180"/>
    <w:rsid w:val="00541565"/>
    <w:rsid w:val="00541B2C"/>
    <w:rsid w:val="005438C6"/>
    <w:rsid w:val="00543FF2"/>
    <w:rsid w:val="0054798F"/>
    <w:rsid w:val="00547E9E"/>
    <w:rsid w:val="0055014B"/>
    <w:rsid w:val="00553A5A"/>
    <w:rsid w:val="00555561"/>
    <w:rsid w:val="00556628"/>
    <w:rsid w:val="005566D4"/>
    <w:rsid w:val="005628CB"/>
    <w:rsid w:val="00563614"/>
    <w:rsid w:val="00564AC1"/>
    <w:rsid w:val="00567C6F"/>
    <w:rsid w:val="00570B20"/>
    <w:rsid w:val="0057107C"/>
    <w:rsid w:val="0057310B"/>
    <w:rsid w:val="005740B1"/>
    <w:rsid w:val="00574557"/>
    <w:rsid w:val="005747B9"/>
    <w:rsid w:val="00574C09"/>
    <w:rsid w:val="00575F61"/>
    <w:rsid w:val="00576970"/>
    <w:rsid w:val="00577DEE"/>
    <w:rsid w:val="005828B6"/>
    <w:rsid w:val="00582FBB"/>
    <w:rsid w:val="00583B9A"/>
    <w:rsid w:val="00584A20"/>
    <w:rsid w:val="00584B6F"/>
    <w:rsid w:val="005852B9"/>
    <w:rsid w:val="00586012"/>
    <w:rsid w:val="00586957"/>
    <w:rsid w:val="00587B62"/>
    <w:rsid w:val="00591218"/>
    <w:rsid w:val="00595A13"/>
    <w:rsid w:val="00596D43"/>
    <w:rsid w:val="005A4777"/>
    <w:rsid w:val="005B0152"/>
    <w:rsid w:val="005B01C5"/>
    <w:rsid w:val="005B2283"/>
    <w:rsid w:val="005B475B"/>
    <w:rsid w:val="005B6398"/>
    <w:rsid w:val="005B7F6E"/>
    <w:rsid w:val="005C09DB"/>
    <w:rsid w:val="005C5899"/>
    <w:rsid w:val="005C5C28"/>
    <w:rsid w:val="005C5D24"/>
    <w:rsid w:val="005D0CF0"/>
    <w:rsid w:val="005D0D6D"/>
    <w:rsid w:val="005D0E06"/>
    <w:rsid w:val="005D229D"/>
    <w:rsid w:val="005D4B01"/>
    <w:rsid w:val="005D6304"/>
    <w:rsid w:val="005D6853"/>
    <w:rsid w:val="005E07F4"/>
    <w:rsid w:val="005E1FDC"/>
    <w:rsid w:val="005E3534"/>
    <w:rsid w:val="005E6C1F"/>
    <w:rsid w:val="005F0EFE"/>
    <w:rsid w:val="005F1164"/>
    <w:rsid w:val="005F16E5"/>
    <w:rsid w:val="005F1EBC"/>
    <w:rsid w:val="005F2CD3"/>
    <w:rsid w:val="005F4158"/>
    <w:rsid w:val="005F4B66"/>
    <w:rsid w:val="005F508D"/>
    <w:rsid w:val="005F6A53"/>
    <w:rsid w:val="00600873"/>
    <w:rsid w:val="0060198A"/>
    <w:rsid w:val="00605643"/>
    <w:rsid w:val="006064E7"/>
    <w:rsid w:val="006065D2"/>
    <w:rsid w:val="0060734A"/>
    <w:rsid w:val="006073AA"/>
    <w:rsid w:val="00607D26"/>
    <w:rsid w:val="006100C6"/>
    <w:rsid w:val="00610AC3"/>
    <w:rsid w:val="006112A1"/>
    <w:rsid w:val="00611F68"/>
    <w:rsid w:val="00616E5E"/>
    <w:rsid w:val="0061764B"/>
    <w:rsid w:val="00620B48"/>
    <w:rsid w:val="00620C5F"/>
    <w:rsid w:val="006218D1"/>
    <w:rsid w:val="00621E4F"/>
    <w:rsid w:val="00621F0B"/>
    <w:rsid w:val="006226BC"/>
    <w:rsid w:val="00623434"/>
    <w:rsid w:val="00625923"/>
    <w:rsid w:val="00625EA7"/>
    <w:rsid w:val="00625EFA"/>
    <w:rsid w:val="00630117"/>
    <w:rsid w:val="006309F8"/>
    <w:rsid w:val="00631BA9"/>
    <w:rsid w:val="00632F98"/>
    <w:rsid w:val="006355CA"/>
    <w:rsid w:val="00636F9B"/>
    <w:rsid w:val="0064036F"/>
    <w:rsid w:val="0064056E"/>
    <w:rsid w:val="006422C6"/>
    <w:rsid w:val="0064324C"/>
    <w:rsid w:val="00644C3C"/>
    <w:rsid w:val="00646D9F"/>
    <w:rsid w:val="0065026F"/>
    <w:rsid w:val="00650AD8"/>
    <w:rsid w:val="006524DB"/>
    <w:rsid w:val="0065279D"/>
    <w:rsid w:val="00655079"/>
    <w:rsid w:val="00664C98"/>
    <w:rsid w:val="006670CC"/>
    <w:rsid w:val="00671BDC"/>
    <w:rsid w:val="00671E32"/>
    <w:rsid w:val="00671EA9"/>
    <w:rsid w:val="0067268C"/>
    <w:rsid w:val="00672E60"/>
    <w:rsid w:val="006750B2"/>
    <w:rsid w:val="006814E0"/>
    <w:rsid w:val="00681CAF"/>
    <w:rsid w:val="00684E6C"/>
    <w:rsid w:val="0068516E"/>
    <w:rsid w:val="0068526D"/>
    <w:rsid w:val="0068715E"/>
    <w:rsid w:val="0069084A"/>
    <w:rsid w:val="006909BC"/>
    <w:rsid w:val="00692CC4"/>
    <w:rsid w:val="00692DD1"/>
    <w:rsid w:val="00692F0C"/>
    <w:rsid w:val="006938E1"/>
    <w:rsid w:val="00694B8C"/>
    <w:rsid w:val="00696D8B"/>
    <w:rsid w:val="006A0673"/>
    <w:rsid w:val="006A0902"/>
    <w:rsid w:val="006A0D2C"/>
    <w:rsid w:val="006A3734"/>
    <w:rsid w:val="006A3F29"/>
    <w:rsid w:val="006A456B"/>
    <w:rsid w:val="006A6036"/>
    <w:rsid w:val="006A6661"/>
    <w:rsid w:val="006A70EF"/>
    <w:rsid w:val="006B0C9B"/>
    <w:rsid w:val="006B113C"/>
    <w:rsid w:val="006B1147"/>
    <w:rsid w:val="006B4DE5"/>
    <w:rsid w:val="006C027C"/>
    <w:rsid w:val="006C1806"/>
    <w:rsid w:val="006C18DE"/>
    <w:rsid w:val="006C4A4A"/>
    <w:rsid w:val="006D17A5"/>
    <w:rsid w:val="006D4A7C"/>
    <w:rsid w:val="006D6E2D"/>
    <w:rsid w:val="006E08E2"/>
    <w:rsid w:val="006E2342"/>
    <w:rsid w:val="006E38F4"/>
    <w:rsid w:val="006E47E8"/>
    <w:rsid w:val="006E4B9A"/>
    <w:rsid w:val="006E70F8"/>
    <w:rsid w:val="006F20B1"/>
    <w:rsid w:val="006F2FB4"/>
    <w:rsid w:val="006F3F72"/>
    <w:rsid w:val="006F56E0"/>
    <w:rsid w:val="006F6760"/>
    <w:rsid w:val="006F7F0C"/>
    <w:rsid w:val="007002AB"/>
    <w:rsid w:val="00703116"/>
    <w:rsid w:val="00703FBF"/>
    <w:rsid w:val="00704481"/>
    <w:rsid w:val="00704AB4"/>
    <w:rsid w:val="00704C40"/>
    <w:rsid w:val="00705CB4"/>
    <w:rsid w:val="00706410"/>
    <w:rsid w:val="00707B4A"/>
    <w:rsid w:val="007105A5"/>
    <w:rsid w:val="0071093D"/>
    <w:rsid w:val="00710FD0"/>
    <w:rsid w:val="00712008"/>
    <w:rsid w:val="0071475A"/>
    <w:rsid w:val="00715FD9"/>
    <w:rsid w:val="00716897"/>
    <w:rsid w:val="00717E4F"/>
    <w:rsid w:val="00720D75"/>
    <w:rsid w:val="00721FB8"/>
    <w:rsid w:val="007223B5"/>
    <w:rsid w:val="00722782"/>
    <w:rsid w:val="0072336C"/>
    <w:rsid w:val="0073088B"/>
    <w:rsid w:val="007312DE"/>
    <w:rsid w:val="00731682"/>
    <w:rsid w:val="0073269A"/>
    <w:rsid w:val="0073327F"/>
    <w:rsid w:val="00734022"/>
    <w:rsid w:val="00734735"/>
    <w:rsid w:val="00734960"/>
    <w:rsid w:val="007353E6"/>
    <w:rsid w:val="00735AE5"/>
    <w:rsid w:val="00736C52"/>
    <w:rsid w:val="00737867"/>
    <w:rsid w:val="0074018D"/>
    <w:rsid w:val="00740F61"/>
    <w:rsid w:val="00741DD2"/>
    <w:rsid w:val="00750218"/>
    <w:rsid w:val="00750AE9"/>
    <w:rsid w:val="007517F1"/>
    <w:rsid w:val="00752277"/>
    <w:rsid w:val="00752515"/>
    <w:rsid w:val="00753142"/>
    <w:rsid w:val="00754C4D"/>
    <w:rsid w:val="007569CD"/>
    <w:rsid w:val="007603C6"/>
    <w:rsid w:val="007619D3"/>
    <w:rsid w:val="0076316C"/>
    <w:rsid w:val="007633C4"/>
    <w:rsid w:val="00763704"/>
    <w:rsid w:val="00765E25"/>
    <w:rsid w:val="007707C4"/>
    <w:rsid w:val="0077273D"/>
    <w:rsid w:val="00773B2C"/>
    <w:rsid w:val="007742F8"/>
    <w:rsid w:val="00774A54"/>
    <w:rsid w:val="00781E8B"/>
    <w:rsid w:val="007829A8"/>
    <w:rsid w:val="00782D45"/>
    <w:rsid w:val="00785AF1"/>
    <w:rsid w:val="00786D5F"/>
    <w:rsid w:val="007904AB"/>
    <w:rsid w:val="007905B2"/>
    <w:rsid w:val="0079072F"/>
    <w:rsid w:val="00794F7B"/>
    <w:rsid w:val="00797D33"/>
    <w:rsid w:val="00797F6F"/>
    <w:rsid w:val="007A0C1F"/>
    <w:rsid w:val="007A119C"/>
    <w:rsid w:val="007A1D36"/>
    <w:rsid w:val="007A3A07"/>
    <w:rsid w:val="007A459F"/>
    <w:rsid w:val="007A72F3"/>
    <w:rsid w:val="007A7789"/>
    <w:rsid w:val="007A7EFD"/>
    <w:rsid w:val="007B0AA1"/>
    <w:rsid w:val="007B144D"/>
    <w:rsid w:val="007B64CD"/>
    <w:rsid w:val="007C0BFF"/>
    <w:rsid w:val="007C1AD7"/>
    <w:rsid w:val="007C326F"/>
    <w:rsid w:val="007C4893"/>
    <w:rsid w:val="007C517D"/>
    <w:rsid w:val="007C5334"/>
    <w:rsid w:val="007C57BE"/>
    <w:rsid w:val="007C5CF8"/>
    <w:rsid w:val="007D09C7"/>
    <w:rsid w:val="007D1651"/>
    <w:rsid w:val="007D1741"/>
    <w:rsid w:val="007D229F"/>
    <w:rsid w:val="007D3523"/>
    <w:rsid w:val="007D3600"/>
    <w:rsid w:val="007D3D7D"/>
    <w:rsid w:val="007D6D5D"/>
    <w:rsid w:val="007E0198"/>
    <w:rsid w:val="007E0409"/>
    <w:rsid w:val="007E0D8B"/>
    <w:rsid w:val="007E1126"/>
    <w:rsid w:val="007E15D5"/>
    <w:rsid w:val="007E5055"/>
    <w:rsid w:val="007E50FC"/>
    <w:rsid w:val="007E5448"/>
    <w:rsid w:val="007E5D8F"/>
    <w:rsid w:val="007E5FED"/>
    <w:rsid w:val="007F0896"/>
    <w:rsid w:val="007F0E29"/>
    <w:rsid w:val="007F1631"/>
    <w:rsid w:val="007F1B80"/>
    <w:rsid w:val="007F4FBA"/>
    <w:rsid w:val="007F5F65"/>
    <w:rsid w:val="007F6083"/>
    <w:rsid w:val="007F7B03"/>
    <w:rsid w:val="00802B56"/>
    <w:rsid w:val="008032FA"/>
    <w:rsid w:val="00806E3C"/>
    <w:rsid w:val="00807F31"/>
    <w:rsid w:val="0081068A"/>
    <w:rsid w:val="0081106D"/>
    <w:rsid w:val="008111B0"/>
    <w:rsid w:val="00812832"/>
    <w:rsid w:val="00812F75"/>
    <w:rsid w:val="00816777"/>
    <w:rsid w:val="008168A3"/>
    <w:rsid w:val="00816A75"/>
    <w:rsid w:val="008208F7"/>
    <w:rsid w:val="00822748"/>
    <w:rsid w:val="008232AE"/>
    <w:rsid w:val="008235A6"/>
    <w:rsid w:val="00825F11"/>
    <w:rsid w:val="00827A24"/>
    <w:rsid w:val="008338DB"/>
    <w:rsid w:val="008369AA"/>
    <w:rsid w:val="00837494"/>
    <w:rsid w:val="00841E0C"/>
    <w:rsid w:val="00841E85"/>
    <w:rsid w:val="00842BAC"/>
    <w:rsid w:val="00845082"/>
    <w:rsid w:val="00846719"/>
    <w:rsid w:val="00847AD1"/>
    <w:rsid w:val="00847CBA"/>
    <w:rsid w:val="00850F92"/>
    <w:rsid w:val="00854730"/>
    <w:rsid w:val="00855F47"/>
    <w:rsid w:val="008563E7"/>
    <w:rsid w:val="00857F51"/>
    <w:rsid w:val="00861D29"/>
    <w:rsid w:val="00862183"/>
    <w:rsid w:val="00862D04"/>
    <w:rsid w:val="008658B0"/>
    <w:rsid w:val="00865CD3"/>
    <w:rsid w:val="008729DD"/>
    <w:rsid w:val="00873354"/>
    <w:rsid w:val="00874AAE"/>
    <w:rsid w:val="00875C76"/>
    <w:rsid w:val="00875EB7"/>
    <w:rsid w:val="008762EF"/>
    <w:rsid w:val="008809E0"/>
    <w:rsid w:val="00880BDE"/>
    <w:rsid w:val="008810BD"/>
    <w:rsid w:val="00881459"/>
    <w:rsid w:val="008822FE"/>
    <w:rsid w:val="008835C8"/>
    <w:rsid w:val="00883E2C"/>
    <w:rsid w:val="00885642"/>
    <w:rsid w:val="00885871"/>
    <w:rsid w:val="0088720F"/>
    <w:rsid w:val="0088768C"/>
    <w:rsid w:val="00891C13"/>
    <w:rsid w:val="00892172"/>
    <w:rsid w:val="00893183"/>
    <w:rsid w:val="0089441B"/>
    <w:rsid w:val="00895D55"/>
    <w:rsid w:val="00896096"/>
    <w:rsid w:val="00897F86"/>
    <w:rsid w:val="008A032D"/>
    <w:rsid w:val="008A0476"/>
    <w:rsid w:val="008A05AC"/>
    <w:rsid w:val="008A0C1D"/>
    <w:rsid w:val="008A2322"/>
    <w:rsid w:val="008A3DCD"/>
    <w:rsid w:val="008A6255"/>
    <w:rsid w:val="008A62EA"/>
    <w:rsid w:val="008B14AB"/>
    <w:rsid w:val="008B15C9"/>
    <w:rsid w:val="008B43F4"/>
    <w:rsid w:val="008B5043"/>
    <w:rsid w:val="008C0043"/>
    <w:rsid w:val="008C074B"/>
    <w:rsid w:val="008C2B38"/>
    <w:rsid w:val="008C4C6C"/>
    <w:rsid w:val="008C52C1"/>
    <w:rsid w:val="008C5E54"/>
    <w:rsid w:val="008D028C"/>
    <w:rsid w:val="008D0933"/>
    <w:rsid w:val="008D09CD"/>
    <w:rsid w:val="008D18F6"/>
    <w:rsid w:val="008D1C53"/>
    <w:rsid w:val="008D1F91"/>
    <w:rsid w:val="008D5865"/>
    <w:rsid w:val="008D5E80"/>
    <w:rsid w:val="008E01DF"/>
    <w:rsid w:val="008E04E8"/>
    <w:rsid w:val="008E0EC0"/>
    <w:rsid w:val="008E1A48"/>
    <w:rsid w:val="008E3DBF"/>
    <w:rsid w:val="008E51F6"/>
    <w:rsid w:val="008E6E1D"/>
    <w:rsid w:val="008E772D"/>
    <w:rsid w:val="008F05A8"/>
    <w:rsid w:val="008F2255"/>
    <w:rsid w:val="008F247E"/>
    <w:rsid w:val="008F36F3"/>
    <w:rsid w:val="008F513A"/>
    <w:rsid w:val="008F5624"/>
    <w:rsid w:val="008F5C17"/>
    <w:rsid w:val="008F6536"/>
    <w:rsid w:val="008F7A0F"/>
    <w:rsid w:val="0090249F"/>
    <w:rsid w:val="009056CC"/>
    <w:rsid w:val="00905EBE"/>
    <w:rsid w:val="0091155A"/>
    <w:rsid w:val="0091496D"/>
    <w:rsid w:val="00914B25"/>
    <w:rsid w:val="00915C62"/>
    <w:rsid w:val="00916C5D"/>
    <w:rsid w:val="0091794B"/>
    <w:rsid w:val="00921810"/>
    <w:rsid w:val="009230E3"/>
    <w:rsid w:val="0092499D"/>
    <w:rsid w:val="009261B5"/>
    <w:rsid w:val="00926568"/>
    <w:rsid w:val="009265B8"/>
    <w:rsid w:val="00927B3D"/>
    <w:rsid w:val="009305D2"/>
    <w:rsid w:val="009310C3"/>
    <w:rsid w:val="009345A6"/>
    <w:rsid w:val="009360D0"/>
    <w:rsid w:val="00936163"/>
    <w:rsid w:val="00937D33"/>
    <w:rsid w:val="00941886"/>
    <w:rsid w:val="009426DA"/>
    <w:rsid w:val="009436B9"/>
    <w:rsid w:val="00943C70"/>
    <w:rsid w:val="00945B3D"/>
    <w:rsid w:val="00945E92"/>
    <w:rsid w:val="009465A7"/>
    <w:rsid w:val="00950E18"/>
    <w:rsid w:val="00951FD0"/>
    <w:rsid w:val="00953946"/>
    <w:rsid w:val="00954B9E"/>
    <w:rsid w:val="00957F17"/>
    <w:rsid w:val="00962351"/>
    <w:rsid w:val="00963E21"/>
    <w:rsid w:val="00964C37"/>
    <w:rsid w:val="00965AA7"/>
    <w:rsid w:val="00965FEA"/>
    <w:rsid w:val="00966AEB"/>
    <w:rsid w:val="009726BC"/>
    <w:rsid w:val="00972848"/>
    <w:rsid w:val="00972F58"/>
    <w:rsid w:val="00974D7B"/>
    <w:rsid w:val="009762C7"/>
    <w:rsid w:val="00983425"/>
    <w:rsid w:val="00984A24"/>
    <w:rsid w:val="009852A8"/>
    <w:rsid w:val="009858CA"/>
    <w:rsid w:val="00985F3A"/>
    <w:rsid w:val="00987998"/>
    <w:rsid w:val="0099211C"/>
    <w:rsid w:val="00993FEB"/>
    <w:rsid w:val="0099489C"/>
    <w:rsid w:val="009954AF"/>
    <w:rsid w:val="00996829"/>
    <w:rsid w:val="009A11D6"/>
    <w:rsid w:val="009A19E4"/>
    <w:rsid w:val="009A3D20"/>
    <w:rsid w:val="009A4810"/>
    <w:rsid w:val="009A5C5D"/>
    <w:rsid w:val="009B28F9"/>
    <w:rsid w:val="009B4335"/>
    <w:rsid w:val="009B52A9"/>
    <w:rsid w:val="009B5363"/>
    <w:rsid w:val="009B6962"/>
    <w:rsid w:val="009C051F"/>
    <w:rsid w:val="009C17A7"/>
    <w:rsid w:val="009C1A98"/>
    <w:rsid w:val="009C32A7"/>
    <w:rsid w:val="009C4ADE"/>
    <w:rsid w:val="009C5EBD"/>
    <w:rsid w:val="009C6061"/>
    <w:rsid w:val="009C74C5"/>
    <w:rsid w:val="009C791F"/>
    <w:rsid w:val="009D0F25"/>
    <w:rsid w:val="009D2CE6"/>
    <w:rsid w:val="009D3792"/>
    <w:rsid w:val="009D39C0"/>
    <w:rsid w:val="009D4502"/>
    <w:rsid w:val="009D4731"/>
    <w:rsid w:val="009D5DB5"/>
    <w:rsid w:val="009D64AF"/>
    <w:rsid w:val="009D64D4"/>
    <w:rsid w:val="009D7A76"/>
    <w:rsid w:val="009D7D3E"/>
    <w:rsid w:val="009E2D04"/>
    <w:rsid w:val="009E3082"/>
    <w:rsid w:val="009E48E0"/>
    <w:rsid w:val="009E4B9A"/>
    <w:rsid w:val="009E635A"/>
    <w:rsid w:val="009F072A"/>
    <w:rsid w:val="009F2B1D"/>
    <w:rsid w:val="009F49B8"/>
    <w:rsid w:val="009F4BAC"/>
    <w:rsid w:val="009F6AB2"/>
    <w:rsid w:val="009F7B9C"/>
    <w:rsid w:val="009F7BFC"/>
    <w:rsid w:val="00A0089F"/>
    <w:rsid w:val="00A013AC"/>
    <w:rsid w:val="00A017C0"/>
    <w:rsid w:val="00A02552"/>
    <w:rsid w:val="00A04A0F"/>
    <w:rsid w:val="00A05386"/>
    <w:rsid w:val="00A0659F"/>
    <w:rsid w:val="00A1013F"/>
    <w:rsid w:val="00A11B13"/>
    <w:rsid w:val="00A15524"/>
    <w:rsid w:val="00A16925"/>
    <w:rsid w:val="00A17218"/>
    <w:rsid w:val="00A20F15"/>
    <w:rsid w:val="00A22E92"/>
    <w:rsid w:val="00A231D7"/>
    <w:rsid w:val="00A234A9"/>
    <w:rsid w:val="00A24DD7"/>
    <w:rsid w:val="00A31E91"/>
    <w:rsid w:val="00A32AC8"/>
    <w:rsid w:val="00A3361F"/>
    <w:rsid w:val="00A3405A"/>
    <w:rsid w:val="00A35A63"/>
    <w:rsid w:val="00A401B2"/>
    <w:rsid w:val="00A4221B"/>
    <w:rsid w:val="00A43667"/>
    <w:rsid w:val="00A43690"/>
    <w:rsid w:val="00A43D8A"/>
    <w:rsid w:val="00A50C05"/>
    <w:rsid w:val="00A515A0"/>
    <w:rsid w:val="00A52262"/>
    <w:rsid w:val="00A53BC0"/>
    <w:rsid w:val="00A56DE5"/>
    <w:rsid w:val="00A605C0"/>
    <w:rsid w:val="00A615AD"/>
    <w:rsid w:val="00A653E7"/>
    <w:rsid w:val="00A66635"/>
    <w:rsid w:val="00A66BD8"/>
    <w:rsid w:val="00A70575"/>
    <w:rsid w:val="00A70611"/>
    <w:rsid w:val="00A71BDA"/>
    <w:rsid w:val="00A73890"/>
    <w:rsid w:val="00A74442"/>
    <w:rsid w:val="00A747B9"/>
    <w:rsid w:val="00A75DE3"/>
    <w:rsid w:val="00A8251A"/>
    <w:rsid w:val="00A825F4"/>
    <w:rsid w:val="00A86198"/>
    <w:rsid w:val="00A9125E"/>
    <w:rsid w:val="00A92C80"/>
    <w:rsid w:val="00A94F6A"/>
    <w:rsid w:val="00A95115"/>
    <w:rsid w:val="00A962F4"/>
    <w:rsid w:val="00A968AF"/>
    <w:rsid w:val="00A973EE"/>
    <w:rsid w:val="00AA0D79"/>
    <w:rsid w:val="00AA1226"/>
    <w:rsid w:val="00AA14B9"/>
    <w:rsid w:val="00AA2D31"/>
    <w:rsid w:val="00AB086B"/>
    <w:rsid w:val="00AB0D3A"/>
    <w:rsid w:val="00AB1E5E"/>
    <w:rsid w:val="00AB2551"/>
    <w:rsid w:val="00AB3F33"/>
    <w:rsid w:val="00AB4829"/>
    <w:rsid w:val="00AB6611"/>
    <w:rsid w:val="00AB7573"/>
    <w:rsid w:val="00AB795C"/>
    <w:rsid w:val="00AC0202"/>
    <w:rsid w:val="00AC32EA"/>
    <w:rsid w:val="00AC50A1"/>
    <w:rsid w:val="00AC68B4"/>
    <w:rsid w:val="00AC761D"/>
    <w:rsid w:val="00AC78EA"/>
    <w:rsid w:val="00AD17C2"/>
    <w:rsid w:val="00AD6722"/>
    <w:rsid w:val="00AE06C3"/>
    <w:rsid w:val="00AE076A"/>
    <w:rsid w:val="00AE0BFA"/>
    <w:rsid w:val="00AE285A"/>
    <w:rsid w:val="00AE42DE"/>
    <w:rsid w:val="00AE4489"/>
    <w:rsid w:val="00AE590B"/>
    <w:rsid w:val="00AF0E9E"/>
    <w:rsid w:val="00AF1307"/>
    <w:rsid w:val="00AF46EB"/>
    <w:rsid w:val="00AF52E1"/>
    <w:rsid w:val="00AF5C40"/>
    <w:rsid w:val="00AF5DD7"/>
    <w:rsid w:val="00AF6E58"/>
    <w:rsid w:val="00AF6FC8"/>
    <w:rsid w:val="00AF7219"/>
    <w:rsid w:val="00B01190"/>
    <w:rsid w:val="00B01B10"/>
    <w:rsid w:val="00B04BE0"/>
    <w:rsid w:val="00B11031"/>
    <w:rsid w:val="00B11FA2"/>
    <w:rsid w:val="00B120D1"/>
    <w:rsid w:val="00B12416"/>
    <w:rsid w:val="00B126B9"/>
    <w:rsid w:val="00B12B29"/>
    <w:rsid w:val="00B143E0"/>
    <w:rsid w:val="00B14BB3"/>
    <w:rsid w:val="00B14FAA"/>
    <w:rsid w:val="00B162E5"/>
    <w:rsid w:val="00B20AD4"/>
    <w:rsid w:val="00B21EF7"/>
    <w:rsid w:val="00B2497F"/>
    <w:rsid w:val="00B24DDB"/>
    <w:rsid w:val="00B26591"/>
    <w:rsid w:val="00B32887"/>
    <w:rsid w:val="00B32F73"/>
    <w:rsid w:val="00B34427"/>
    <w:rsid w:val="00B36364"/>
    <w:rsid w:val="00B36928"/>
    <w:rsid w:val="00B371DF"/>
    <w:rsid w:val="00B416FA"/>
    <w:rsid w:val="00B44526"/>
    <w:rsid w:val="00B44AD9"/>
    <w:rsid w:val="00B50BA7"/>
    <w:rsid w:val="00B531E7"/>
    <w:rsid w:val="00B531ED"/>
    <w:rsid w:val="00B5419E"/>
    <w:rsid w:val="00B572FC"/>
    <w:rsid w:val="00B60144"/>
    <w:rsid w:val="00B6088A"/>
    <w:rsid w:val="00B609A0"/>
    <w:rsid w:val="00B60DC0"/>
    <w:rsid w:val="00B620C6"/>
    <w:rsid w:val="00B64B27"/>
    <w:rsid w:val="00B70B1A"/>
    <w:rsid w:val="00B7289A"/>
    <w:rsid w:val="00B7485F"/>
    <w:rsid w:val="00B7508B"/>
    <w:rsid w:val="00B75D7F"/>
    <w:rsid w:val="00B7699D"/>
    <w:rsid w:val="00B76E8C"/>
    <w:rsid w:val="00B774A1"/>
    <w:rsid w:val="00B83D39"/>
    <w:rsid w:val="00B842FF"/>
    <w:rsid w:val="00B85237"/>
    <w:rsid w:val="00B9090C"/>
    <w:rsid w:val="00B925AB"/>
    <w:rsid w:val="00B96A06"/>
    <w:rsid w:val="00BA183F"/>
    <w:rsid w:val="00BA225C"/>
    <w:rsid w:val="00BA5095"/>
    <w:rsid w:val="00BA56D7"/>
    <w:rsid w:val="00BA61D9"/>
    <w:rsid w:val="00BB0525"/>
    <w:rsid w:val="00BB39A5"/>
    <w:rsid w:val="00BB4B2B"/>
    <w:rsid w:val="00BB50ED"/>
    <w:rsid w:val="00BB58C8"/>
    <w:rsid w:val="00BB5987"/>
    <w:rsid w:val="00BB65B6"/>
    <w:rsid w:val="00BB6DE2"/>
    <w:rsid w:val="00BC09C3"/>
    <w:rsid w:val="00BC0FBF"/>
    <w:rsid w:val="00BC1236"/>
    <w:rsid w:val="00BC184A"/>
    <w:rsid w:val="00BC1E81"/>
    <w:rsid w:val="00BC6594"/>
    <w:rsid w:val="00BC65D9"/>
    <w:rsid w:val="00BC6AEF"/>
    <w:rsid w:val="00BC785C"/>
    <w:rsid w:val="00BD0C6F"/>
    <w:rsid w:val="00BD5624"/>
    <w:rsid w:val="00BD5E8C"/>
    <w:rsid w:val="00BD6B92"/>
    <w:rsid w:val="00BE19B3"/>
    <w:rsid w:val="00BE2A0A"/>
    <w:rsid w:val="00BE3210"/>
    <w:rsid w:val="00BE3778"/>
    <w:rsid w:val="00BE45A0"/>
    <w:rsid w:val="00BE5626"/>
    <w:rsid w:val="00BE5D7F"/>
    <w:rsid w:val="00BE61D1"/>
    <w:rsid w:val="00BE7211"/>
    <w:rsid w:val="00BF2688"/>
    <w:rsid w:val="00BF425B"/>
    <w:rsid w:val="00BF4D4F"/>
    <w:rsid w:val="00BF685D"/>
    <w:rsid w:val="00BF78C3"/>
    <w:rsid w:val="00BF7A75"/>
    <w:rsid w:val="00C018FF"/>
    <w:rsid w:val="00C01CD5"/>
    <w:rsid w:val="00C01DF6"/>
    <w:rsid w:val="00C020F6"/>
    <w:rsid w:val="00C0215A"/>
    <w:rsid w:val="00C028E1"/>
    <w:rsid w:val="00C02B1B"/>
    <w:rsid w:val="00C02E2A"/>
    <w:rsid w:val="00C03076"/>
    <w:rsid w:val="00C052B2"/>
    <w:rsid w:val="00C06389"/>
    <w:rsid w:val="00C100B3"/>
    <w:rsid w:val="00C21055"/>
    <w:rsid w:val="00C23A32"/>
    <w:rsid w:val="00C247E7"/>
    <w:rsid w:val="00C24A49"/>
    <w:rsid w:val="00C24C18"/>
    <w:rsid w:val="00C26588"/>
    <w:rsid w:val="00C3071F"/>
    <w:rsid w:val="00C31662"/>
    <w:rsid w:val="00C31968"/>
    <w:rsid w:val="00C32536"/>
    <w:rsid w:val="00C35E8B"/>
    <w:rsid w:val="00C3659A"/>
    <w:rsid w:val="00C36823"/>
    <w:rsid w:val="00C4257A"/>
    <w:rsid w:val="00C42B0D"/>
    <w:rsid w:val="00C432A7"/>
    <w:rsid w:val="00C43A47"/>
    <w:rsid w:val="00C43C81"/>
    <w:rsid w:val="00C44B8E"/>
    <w:rsid w:val="00C457EB"/>
    <w:rsid w:val="00C46563"/>
    <w:rsid w:val="00C507A7"/>
    <w:rsid w:val="00C52BC9"/>
    <w:rsid w:val="00C568F7"/>
    <w:rsid w:val="00C61C19"/>
    <w:rsid w:val="00C61C38"/>
    <w:rsid w:val="00C63A7D"/>
    <w:rsid w:val="00C66687"/>
    <w:rsid w:val="00C66690"/>
    <w:rsid w:val="00C67A62"/>
    <w:rsid w:val="00C72500"/>
    <w:rsid w:val="00C74373"/>
    <w:rsid w:val="00C768E1"/>
    <w:rsid w:val="00C80814"/>
    <w:rsid w:val="00C826E4"/>
    <w:rsid w:val="00C82C9D"/>
    <w:rsid w:val="00C83C8B"/>
    <w:rsid w:val="00C83FB8"/>
    <w:rsid w:val="00C85C8C"/>
    <w:rsid w:val="00C8755B"/>
    <w:rsid w:val="00C87CBB"/>
    <w:rsid w:val="00C904C3"/>
    <w:rsid w:val="00C92D03"/>
    <w:rsid w:val="00C937B8"/>
    <w:rsid w:val="00C93A89"/>
    <w:rsid w:val="00C95F44"/>
    <w:rsid w:val="00C9630A"/>
    <w:rsid w:val="00C9736C"/>
    <w:rsid w:val="00CA11B7"/>
    <w:rsid w:val="00CA2C70"/>
    <w:rsid w:val="00CA36C0"/>
    <w:rsid w:val="00CA595C"/>
    <w:rsid w:val="00CB0C55"/>
    <w:rsid w:val="00CB0E0B"/>
    <w:rsid w:val="00CB0FD1"/>
    <w:rsid w:val="00CB26A1"/>
    <w:rsid w:val="00CB3203"/>
    <w:rsid w:val="00CB35D8"/>
    <w:rsid w:val="00CB5C0D"/>
    <w:rsid w:val="00CB5F30"/>
    <w:rsid w:val="00CB6C67"/>
    <w:rsid w:val="00CB6FF8"/>
    <w:rsid w:val="00CB7AED"/>
    <w:rsid w:val="00CC014D"/>
    <w:rsid w:val="00CC066C"/>
    <w:rsid w:val="00CC1C87"/>
    <w:rsid w:val="00CC268F"/>
    <w:rsid w:val="00CC2A1A"/>
    <w:rsid w:val="00CC528F"/>
    <w:rsid w:val="00CC7D5E"/>
    <w:rsid w:val="00CD02B2"/>
    <w:rsid w:val="00CD552A"/>
    <w:rsid w:val="00CE214F"/>
    <w:rsid w:val="00CE21A6"/>
    <w:rsid w:val="00CE3346"/>
    <w:rsid w:val="00CF065F"/>
    <w:rsid w:val="00CF187F"/>
    <w:rsid w:val="00CF24E2"/>
    <w:rsid w:val="00CF258F"/>
    <w:rsid w:val="00CF312A"/>
    <w:rsid w:val="00CF352C"/>
    <w:rsid w:val="00CF42E5"/>
    <w:rsid w:val="00CF5283"/>
    <w:rsid w:val="00CF564A"/>
    <w:rsid w:val="00CF6107"/>
    <w:rsid w:val="00CF6B50"/>
    <w:rsid w:val="00CF78FA"/>
    <w:rsid w:val="00D00406"/>
    <w:rsid w:val="00D02895"/>
    <w:rsid w:val="00D02898"/>
    <w:rsid w:val="00D03067"/>
    <w:rsid w:val="00D03F91"/>
    <w:rsid w:val="00D04095"/>
    <w:rsid w:val="00D105BB"/>
    <w:rsid w:val="00D12F4D"/>
    <w:rsid w:val="00D16280"/>
    <w:rsid w:val="00D17CE4"/>
    <w:rsid w:val="00D17D8F"/>
    <w:rsid w:val="00D2033C"/>
    <w:rsid w:val="00D22ACB"/>
    <w:rsid w:val="00D22CE9"/>
    <w:rsid w:val="00D268A7"/>
    <w:rsid w:val="00D27FE5"/>
    <w:rsid w:val="00D3263D"/>
    <w:rsid w:val="00D33237"/>
    <w:rsid w:val="00D3418C"/>
    <w:rsid w:val="00D34311"/>
    <w:rsid w:val="00D34A17"/>
    <w:rsid w:val="00D35E15"/>
    <w:rsid w:val="00D373BF"/>
    <w:rsid w:val="00D4024E"/>
    <w:rsid w:val="00D41C33"/>
    <w:rsid w:val="00D42051"/>
    <w:rsid w:val="00D42A4F"/>
    <w:rsid w:val="00D43277"/>
    <w:rsid w:val="00D45592"/>
    <w:rsid w:val="00D51905"/>
    <w:rsid w:val="00D53912"/>
    <w:rsid w:val="00D547A0"/>
    <w:rsid w:val="00D55030"/>
    <w:rsid w:val="00D551FC"/>
    <w:rsid w:val="00D559CD"/>
    <w:rsid w:val="00D55D74"/>
    <w:rsid w:val="00D564B6"/>
    <w:rsid w:val="00D565C3"/>
    <w:rsid w:val="00D63478"/>
    <w:rsid w:val="00D63EE8"/>
    <w:rsid w:val="00D65512"/>
    <w:rsid w:val="00D67D53"/>
    <w:rsid w:val="00D73048"/>
    <w:rsid w:val="00D7335B"/>
    <w:rsid w:val="00D746FB"/>
    <w:rsid w:val="00D749E7"/>
    <w:rsid w:val="00D768C1"/>
    <w:rsid w:val="00D76E7E"/>
    <w:rsid w:val="00D803B2"/>
    <w:rsid w:val="00D83687"/>
    <w:rsid w:val="00D867D3"/>
    <w:rsid w:val="00D8738D"/>
    <w:rsid w:val="00D878E8"/>
    <w:rsid w:val="00D9244E"/>
    <w:rsid w:val="00D92D0A"/>
    <w:rsid w:val="00D94938"/>
    <w:rsid w:val="00D94C3E"/>
    <w:rsid w:val="00D9598A"/>
    <w:rsid w:val="00D95E1A"/>
    <w:rsid w:val="00D96784"/>
    <w:rsid w:val="00D97499"/>
    <w:rsid w:val="00DA02AC"/>
    <w:rsid w:val="00DA0347"/>
    <w:rsid w:val="00DA1542"/>
    <w:rsid w:val="00DA204A"/>
    <w:rsid w:val="00DA24F5"/>
    <w:rsid w:val="00DA3534"/>
    <w:rsid w:val="00DA4133"/>
    <w:rsid w:val="00DA5467"/>
    <w:rsid w:val="00DA54CD"/>
    <w:rsid w:val="00DA7ECF"/>
    <w:rsid w:val="00DB017A"/>
    <w:rsid w:val="00DB0BDB"/>
    <w:rsid w:val="00DB1A07"/>
    <w:rsid w:val="00DB43DD"/>
    <w:rsid w:val="00DC0108"/>
    <w:rsid w:val="00DC273F"/>
    <w:rsid w:val="00DC2B41"/>
    <w:rsid w:val="00DC5E73"/>
    <w:rsid w:val="00DC75F2"/>
    <w:rsid w:val="00DC7611"/>
    <w:rsid w:val="00DC7E89"/>
    <w:rsid w:val="00DD120A"/>
    <w:rsid w:val="00DD1342"/>
    <w:rsid w:val="00DD1B4B"/>
    <w:rsid w:val="00DD1FBF"/>
    <w:rsid w:val="00DD6403"/>
    <w:rsid w:val="00DD739A"/>
    <w:rsid w:val="00DE185C"/>
    <w:rsid w:val="00DE277E"/>
    <w:rsid w:val="00DE2998"/>
    <w:rsid w:val="00DE2A2E"/>
    <w:rsid w:val="00DE54CE"/>
    <w:rsid w:val="00DE6A28"/>
    <w:rsid w:val="00DE6C14"/>
    <w:rsid w:val="00DF0443"/>
    <w:rsid w:val="00DF3275"/>
    <w:rsid w:val="00DF3279"/>
    <w:rsid w:val="00DF3CB7"/>
    <w:rsid w:val="00DF4A58"/>
    <w:rsid w:val="00DF4E17"/>
    <w:rsid w:val="00DF5D7B"/>
    <w:rsid w:val="00DF76DE"/>
    <w:rsid w:val="00DF7953"/>
    <w:rsid w:val="00DF7F9C"/>
    <w:rsid w:val="00E0093D"/>
    <w:rsid w:val="00E016B9"/>
    <w:rsid w:val="00E01D51"/>
    <w:rsid w:val="00E03FE4"/>
    <w:rsid w:val="00E060CE"/>
    <w:rsid w:val="00E06503"/>
    <w:rsid w:val="00E0703A"/>
    <w:rsid w:val="00E1074A"/>
    <w:rsid w:val="00E10A65"/>
    <w:rsid w:val="00E10ACE"/>
    <w:rsid w:val="00E13607"/>
    <w:rsid w:val="00E15092"/>
    <w:rsid w:val="00E15301"/>
    <w:rsid w:val="00E15798"/>
    <w:rsid w:val="00E15968"/>
    <w:rsid w:val="00E15F69"/>
    <w:rsid w:val="00E20367"/>
    <w:rsid w:val="00E20A20"/>
    <w:rsid w:val="00E22A12"/>
    <w:rsid w:val="00E22A1F"/>
    <w:rsid w:val="00E2469F"/>
    <w:rsid w:val="00E24768"/>
    <w:rsid w:val="00E2527A"/>
    <w:rsid w:val="00E25B5F"/>
    <w:rsid w:val="00E25EB3"/>
    <w:rsid w:val="00E30C88"/>
    <w:rsid w:val="00E30D99"/>
    <w:rsid w:val="00E31999"/>
    <w:rsid w:val="00E325C7"/>
    <w:rsid w:val="00E3468D"/>
    <w:rsid w:val="00E37512"/>
    <w:rsid w:val="00E37A69"/>
    <w:rsid w:val="00E37CE8"/>
    <w:rsid w:val="00E42432"/>
    <w:rsid w:val="00E428F7"/>
    <w:rsid w:val="00E4448C"/>
    <w:rsid w:val="00E445AB"/>
    <w:rsid w:val="00E4592D"/>
    <w:rsid w:val="00E46656"/>
    <w:rsid w:val="00E53EC7"/>
    <w:rsid w:val="00E548D9"/>
    <w:rsid w:val="00E55DBB"/>
    <w:rsid w:val="00E6116A"/>
    <w:rsid w:val="00E6142E"/>
    <w:rsid w:val="00E632DB"/>
    <w:rsid w:val="00E646BA"/>
    <w:rsid w:val="00E66011"/>
    <w:rsid w:val="00E6677E"/>
    <w:rsid w:val="00E67E87"/>
    <w:rsid w:val="00E720A1"/>
    <w:rsid w:val="00E7690B"/>
    <w:rsid w:val="00E77F83"/>
    <w:rsid w:val="00E81264"/>
    <w:rsid w:val="00E8169F"/>
    <w:rsid w:val="00E81A44"/>
    <w:rsid w:val="00E822ED"/>
    <w:rsid w:val="00E84A4E"/>
    <w:rsid w:val="00E86C25"/>
    <w:rsid w:val="00E92C4E"/>
    <w:rsid w:val="00E92D42"/>
    <w:rsid w:val="00E962E8"/>
    <w:rsid w:val="00E962FE"/>
    <w:rsid w:val="00E967A9"/>
    <w:rsid w:val="00EA2E84"/>
    <w:rsid w:val="00EA4214"/>
    <w:rsid w:val="00EB40CF"/>
    <w:rsid w:val="00EB6919"/>
    <w:rsid w:val="00EC0A2A"/>
    <w:rsid w:val="00EC2AC9"/>
    <w:rsid w:val="00EC4A87"/>
    <w:rsid w:val="00EC5B69"/>
    <w:rsid w:val="00EC5F45"/>
    <w:rsid w:val="00EC7E9A"/>
    <w:rsid w:val="00ED026A"/>
    <w:rsid w:val="00ED1149"/>
    <w:rsid w:val="00ED14F0"/>
    <w:rsid w:val="00ED2B5A"/>
    <w:rsid w:val="00ED3A64"/>
    <w:rsid w:val="00ED462A"/>
    <w:rsid w:val="00ED5299"/>
    <w:rsid w:val="00EE08C8"/>
    <w:rsid w:val="00EE0C47"/>
    <w:rsid w:val="00EE25B2"/>
    <w:rsid w:val="00EE2C0B"/>
    <w:rsid w:val="00EE3D9F"/>
    <w:rsid w:val="00EE43B2"/>
    <w:rsid w:val="00EE656D"/>
    <w:rsid w:val="00EF0E08"/>
    <w:rsid w:val="00EF2536"/>
    <w:rsid w:val="00EF405B"/>
    <w:rsid w:val="00EF61C1"/>
    <w:rsid w:val="00EF63A9"/>
    <w:rsid w:val="00F0244A"/>
    <w:rsid w:val="00F02A86"/>
    <w:rsid w:val="00F02EFB"/>
    <w:rsid w:val="00F05660"/>
    <w:rsid w:val="00F065A0"/>
    <w:rsid w:val="00F1194E"/>
    <w:rsid w:val="00F140FE"/>
    <w:rsid w:val="00F14742"/>
    <w:rsid w:val="00F20ED0"/>
    <w:rsid w:val="00F221D5"/>
    <w:rsid w:val="00F228D8"/>
    <w:rsid w:val="00F23446"/>
    <w:rsid w:val="00F2706A"/>
    <w:rsid w:val="00F27671"/>
    <w:rsid w:val="00F30B67"/>
    <w:rsid w:val="00F33512"/>
    <w:rsid w:val="00F35391"/>
    <w:rsid w:val="00F4023E"/>
    <w:rsid w:val="00F428A6"/>
    <w:rsid w:val="00F42E5B"/>
    <w:rsid w:val="00F43F05"/>
    <w:rsid w:val="00F440C7"/>
    <w:rsid w:val="00F4428A"/>
    <w:rsid w:val="00F442EB"/>
    <w:rsid w:val="00F51507"/>
    <w:rsid w:val="00F51696"/>
    <w:rsid w:val="00F51CC3"/>
    <w:rsid w:val="00F52ECA"/>
    <w:rsid w:val="00F536B5"/>
    <w:rsid w:val="00F56BBA"/>
    <w:rsid w:val="00F6074E"/>
    <w:rsid w:val="00F61109"/>
    <w:rsid w:val="00F625E6"/>
    <w:rsid w:val="00F64CCE"/>
    <w:rsid w:val="00F64EAA"/>
    <w:rsid w:val="00F653BB"/>
    <w:rsid w:val="00F65ECD"/>
    <w:rsid w:val="00F6793D"/>
    <w:rsid w:val="00F710FF"/>
    <w:rsid w:val="00F719EA"/>
    <w:rsid w:val="00F744E6"/>
    <w:rsid w:val="00F762A9"/>
    <w:rsid w:val="00F779F6"/>
    <w:rsid w:val="00F77C97"/>
    <w:rsid w:val="00F803D9"/>
    <w:rsid w:val="00F81739"/>
    <w:rsid w:val="00F81E8F"/>
    <w:rsid w:val="00F82304"/>
    <w:rsid w:val="00F84482"/>
    <w:rsid w:val="00F85834"/>
    <w:rsid w:val="00F90205"/>
    <w:rsid w:val="00F91D52"/>
    <w:rsid w:val="00F92322"/>
    <w:rsid w:val="00F928BC"/>
    <w:rsid w:val="00F93609"/>
    <w:rsid w:val="00F939C2"/>
    <w:rsid w:val="00F949FB"/>
    <w:rsid w:val="00F9506A"/>
    <w:rsid w:val="00F95917"/>
    <w:rsid w:val="00F95BB2"/>
    <w:rsid w:val="00F96980"/>
    <w:rsid w:val="00FA081A"/>
    <w:rsid w:val="00FA1180"/>
    <w:rsid w:val="00FA1FEC"/>
    <w:rsid w:val="00FA2BF5"/>
    <w:rsid w:val="00FA3E37"/>
    <w:rsid w:val="00FA7719"/>
    <w:rsid w:val="00FB0A82"/>
    <w:rsid w:val="00FB3313"/>
    <w:rsid w:val="00FB3A05"/>
    <w:rsid w:val="00FB6A5A"/>
    <w:rsid w:val="00FB7F87"/>
    <w:rsid w:val="00FC1FDD"/>
    <w:rsid w:val="00FC2F18"/>
    <w:rsid w:val="00FC465F"/>
    <w:rsid w:val="00FC5391"/>
    <w:rsid w:val="00FC542A"/>
    <w:rsid w:val="00FC5EFC"/>
    <w:rsid w:val="00FC7E54"/>
    <w:rsid w:val="00FD0B49"/>
    <w:rsid w:val="00FD2AFD"/>
    <w:rsid w:val="00FD2C00"/>
    <w:rsid w:val="00FD4493"/>
    <w:rsid w:val="00FD7A6A"/>
    <w:rsid w:val="00FE06C1"/>
    <w:rsid w:val="00FE1FA6"/>
    <w:rsid w:val="00FE2FB3"/>
    <w:rsid w:val="00FE66C4"/>
    <w:rsid w:val="00FE741C"/>
    <w:rsid w:val="00FF05C2"/>
    <w:rsid w:val="00FF06CD"/>
    <w:rsid w:val="00FF07FC"/>
    <w:rsid w:val="00FF2AF8"/>
    <w:rsid w:val="00FF371D"/>
    <w:rsid w:val="00FF3A87"/>
    <w:rsid w:val="00FF43CA"/>
    <w:rsid w:val="00FF581A"/>
    <w:rsid w:val="00FF5C20"/>
    <w:rsid w:val="00FF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4214"/>
    <w:pPr>
      <w:keepNext/>
      <w:keepLines/>
      <w:spacing w:before="480" w:after="0"/>
      <w:outlineLvl w:val="0"/>
    </w:pPr>
    <w:rPr>
      <w:rFonts w:asciiTheme="majorHAnsi" w:eastAsiaTheme="majorEastAsia" w:hAnsiTheme="majorHAnsi" w:cstheme="majorBidi"/>
      <w:bCs/>
      <w:sz w:val="40"/>
      <w:szCs w:val="28"/>
    </w:rPr>
  </w:style>
  <w:style w:type="paragraph" w:styleId="Heading2">
    <w:name w:val="heading 2"/>
    <w:basedOn w:val="Normal"/>
    <w:next w:val="Normal"/>
    <w:link w:val="Heading2Char"/>
    <w:uiPriority w:val="9"/>
    <w:unhideWhenUsed/>
    <w:qFormat/>
    <w:rsid w:val="00EA4214"/>
    <w:pPr>
      <w:keepNext/>
      <w:keepLines/>
      <w:spacing w:before="200" w:after="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unhideWhenUsed/>
    <w:qFormat/>
    <w:rsid w:val="00EA4214"/>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A4214"/>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768E1"/>
    <w:pPr>
      <w:keepNext/>
      <w:keepLines/>
      <w:spacing w:before="200" w:after="0"/>
      <w:jc w:val="center"/>
      <w:outlineLvl w:val="4"/>
    </w:pPr>
    <w:rPr>
      <w:rFonts w:ascii="Calibri" w:eastAsiaTheme="majorEastAsia" w:hAnsi="Calibr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946"/>
  </w:style>
  <w:style w:type="paragraph" w:styleId="Footer">
    <w:name w:val="footer"/>
    <w:basedOn w:val="Normal"/>
    <w:link w:val="FooterChar"/>
    <w:uiPriority w:val="99"/>
    <w:unhideWhenUsed/>
    <w:rsid w:val="0095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946"/>
  </w:style>
  <w:style w:type="paragraph" w:styleId="ListParagraph">
    <w:name w:val="List Paragraph"/>
    <w:basedOn w:val="Normal"/>
    <w:uiPriority w:val="34"/>
    <w:qFormat/>
    <w:rsid w:val="00953946"/>
    <w:pPr>
      <w:ind w:left="720"/>
      <w:contextualSpacing/>
    </w:pPr>
  </w:style>
  <w:style w:type="character" w:customStyle="1" w:styleId="Heading2Char">
    <w:name w:val="Heading 2 Char"/>
    <w:basedOn w:val="DefaultParagraphFont"/>
    <w:link w:val="Heading2"/>
    <w:uiPriority w:val="9"/>
    <w:rsid w:val="00EA4214"/>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EA4214"/>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EA4214"/>
    <w:rPr>
      <w:rFonts w:asciiTheme="majorHAnsi" w:eastAsiaTheme="majorEastAsia" w:hAnsiTheme="majorHAnsi" w:cstheme="majorBidi"/>
      <w:bCs/>
      <w:sz w:val="40"/>
      <w:szCs w:val="28"/>
    </w:rPr>
  </w:style>
  <w:style w:type="table" w:styleId="TableGrid">
    <w:name w:val="Table Grid"/>
    <w:basedOn w:val="TableNormal"/>
    <w:uiPriority w:val="59"/>
    <w:rsid w:val="002A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dyText">
    <w:name w:val="Level 4 Body Text"/>
    <w:basedOn w:val="Normal"/>
    <w:rsid w:val="004B0264"/>
    <w:pPr>
      <w:widowControl w:val="0"/>
      <w:spacing w:after="0" w:line="240" w:lineRule="auto"/>
      <w:ind w:left="1080"/>
      <w:contextualSpacing/>
    </w:pPr>
    <w:rPr>
      <w:rFonts w:ascii="Arial" w:eastAsia="Times New Roman" w:hAnsi="Arial" w:cs="Arial"/>
      <w:snapToGrid w:val="0"/>
      <w:sz w:val="24"/>
      <w:szCs w:val="24"/>
    </w:rPr>
  </w:style>
  <w:style w:type="paragraph" w:styleId="BalloonText">
    <w:name w:val="Balloon Text"/>
    <w:basedOn w:val="Normal"/>
    <w:link w:val="BalloonTextChar"/>
    <w:uiPriority w:val="99"/>
    <w:unhideWhenUsed/>
    <w:rsid w:val="004B0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0264"/>
    <w:rPr>
      <w:rFonts w:ascii="Tahoma" w:hAnsi="Tahoma" w:cs="Tahoma"/>
      <w:sz w:val="16"/>
      <w:szCs w:val="16"/>
    </w:rPr>
  </w:style>
  <w:style w:type="paragraph" w:styleId="TOCHeading">
    <w:name w:val="TOC Heading"/>
    <w:basedOn w:val="Heading1"/>
    <w:next w:val="Normal"/>
    <w:uiPriority w:val="39"/>
    <w:semiHidden/>
    <w:unhideWhenUsed/>
    <w:qFormat/>
    <w:rsid w:val="004B0264"/>
    <w:pPr>
      <w:outlineLvl w:val="9"/>
    </w:pPr>
    <w:rPr>
      <w:lang w:eastAsia="ja-JP"/>
    </w:rPr>
  </w:style>
  <w:style w:type="paragraph" w:styleId="TOC1">
    <w:name w:val="toc 1"/>
    <w:basedOn w:val="Normal"/>
    <w:next w:val="Normal"/>
    <w:autoRedefine/>
    <w:uiPriority w:val="39"/>
    <w:unhideWhenUsed/>
    <w:qFormat/>
    <w:rsid w:val="004B0264"/>
    <w:pPr>
      <w:spacing w:after="100"/>
    </w:pPr>
  </w:style>
  <w:style w:type="paragraph" w:styleId="TOC2">
    <w:name w:val="toc 2"/>
    <w:basedOn w:val="Normal"/>
    <w:next w:val="Normal"/>
    <w:autoRedefine/>
    <w:uiPriority w:val="39"/>
    <w:unhideWhenUsed/>
    <w:qFormat/>
    <w:rsid w:val="00A95115"/>
    <w:pPr>
      <w:tabs>
        <w:tab w:val="right" w:leader="dot" w:pos="9350"/>
      </w:tabs>
      <w:spacing w:after="100"/>
      <w:ind w:left="220"/>
    </w:pPr>
    <w:rPr>
      <w:rFonts w:ascii="Calibri" w:hAnsi="Calibri"/>
      <w:noProof/>
    </w:rPr>
  </w:style>
  <w:style w:type="paragraph" w:styleId="TOC3">
    <w:name w:val="toc 3"/>
    <w:basedOn w:val="Normal"/>
    <w:next w:val="Normal"/>
    <w:autoRedefine/>
    <w:uiPriority w:val="39"/>
    <w:unhideWhenUsed/>
    <w:qFormat/>
    <w:rsid w:val="004B0264"/>
    <w:pPr>
      <w:spacing w:after="100"/>
      <w:ind w:left="440"/>
    </w:pPr>
  </w:style>
  <w:style w:type="character" w:styleId="Hyperlink">
    <w:name w:val="Hyperlink"/>
    <w:basedOn w:val="DefaultParagraphFont"/>
    <w:uiPriority w:val="99"/>
    <w:unhideWhenUsed/>
    <w:rsid w:val="004B0264"/>
    <w:rPr>
      <w:color w:val="0000FF" w:themeColor="hyperlink"/>
      <w:u w:val="single"/>
    </w:rPr>
  </w:style>
  <w:style w:type="paragraph" w:customStyle="1" w:styleId="Default">
    <w:name w:val="Default"/>
    <w:rsid w:val="00E548D9"/>
    <w:pPr>
      <w:autoSpaceDE w:val="0"/>
      <w:autoSpaceDN w:val="0"/>
      <w:adjustRightInd w:val="0"/>
      <w:spacing w:after="0" w:line="240" w:lineRule="auto"/>
    </w:pPr>
    <w:rPr>
      <w:rFonts w:ascii="Corbel" w:hAnsi="Corbel" w:cs="Corbel"/>
      <w:color w:val="000000"/>
      <w:sz w:val="24"/>
      <w:szCs w:val="24"/>
    </w:rPr>
  </w:style>
  <w:style w:type="paragraph" w:styleId="FootnoteText">
    <w:name w:val="footnote text"/>
    <w:basedOn w:val="Normal"/>
    <w:link w:val="FootnoteTextChar"/>
    <w:uiPriority w:val="99"/>
    <w:semiHidden/>
    <w:unhideWhenUsed/>
    <w:rsid w:val="006B1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13C"/>
    <w:rPr>
      <w:sz w:val="20"/>
      <w:szCs w:val="20"/>
    </w:rPr>
  </w:style>
  <w:style w:type="character" w:styleId="FootnoteReference">
    <w:name w:val="footnote reference"/>
    <w:basedOn w:val="DefaultParagraphFont"/>
    <w:uiPriority w:val="99"/>
    <w:semiHidden/>
    <w:unhideWhenUsed/>
    <w:rsid w:val="006B113C"/>
    <w:rPr>
      <w:vertAlign w:val="superscript"/>
    </w:rPr>
  </w:style>
  <w:style w:type="character" w:customStyle="1" w:styleId="Heading4Char">
    <w:name w:val="Heading 4 Char"/>
    <w:basedOn w:val="DefaultParagraphFont"/>
    <w:link w:val="Heading4"/>
    <w:uiPriority w:val="9"/>
    <w:rsid w:val="00EA4214"/>
    <w:rPr>
      <w:rFonts w:asciiTheme="majorHAnsi" w:eastAsiaTheme="majorEastAsia" w:hAnsiTheme="majorHAnsi" w:cstheme="majorBidi"/>
      <w:b/>
      <w:bCs/>
      <w:i/>
      <w:iCs/>
    </w:rPr>
  </w:style>
  <w:style w:type="character" w:styleId="CommentReference">
    <w:name w:val="annotation reference"/>
    <w:basedOn w:val="DefaultParagraphFont"/>
    <w:uiPriority w:val="99"/>
    <w:semiHidden/>
    <w:unhideWhenUsed/>
    <w:rsid w:val="00510E81"/>
    <w:rPr>
      <w:sz w:val="16"/>
      <w:szCs w:val="16"/>
    </w:rPr>
  </w:style>
  <w:style w:type="paragraph" w:styleId="CommentText">
    <w:name w:val="annotation text"/>
    <w:basedOn w:val="Normal"/>
    <w:link w:val="CommentTextChar"/>
    <w:uiPriority w:val="99"/>
    <w:semiHidden/>
    <w:unhideWhenUsed/>
    <w:rsid w:val="00510E81"/>
    <w:pPr>
      <w:spacing w:line="240" w:lineRule="auto"/>
    </w:pPr>
    <w:rPr>
      <w:sz w:val="20"/>
      <w:szCs w:val="20"/>
    </w:rPr>
  </w:style>
  <w:style w:type="character" w:customStyle="1" w:styleId="CommentTextChar">
    <w:name w:val="Comment Text Char"/>
    <w:basedOn w:val="DefaultParagraphFont"/>
    <w:link w:val="CommentText"/>
    <w:uiPriority w:val="99"/>
    <w:semiHidden/>
    <w:rsid w:val="00510E81"/>
    <w:rPr>
      <w:sz w:val="20"/>
      <w:szCs w:val="20"/>
    </w:rPr>
  </w:style>
  <w:style w:type="paragraph" w:styleId="CommentSubject">
    <w:name w:val="annotation subject"/>
    <w:basedOn w:val="CommentText"/>
    <w:next w:val="CommentText"/>
    <w:link w:val="CommentSubjectChar"/>
    <w:uiPriority w:val="99"/>
    <w:semiHidden/>
    <w:unhideWhenUsed/>
    <w:rsid w:val="00510E81"/>
    <w:rPr>
      <w:b/>
      <w:bCs/>
    </w:rPr>
  </w:style>
  <w:style w:type="character" w:customStyle="1" w:styleId="CommentSubjectChar">
    <w:name w:val="Comment Subject Char"/>
    <w:basedOn w:val="CommentTextChar"/>
    <w:link w:val="CommentSubject"/>
    <w:uiPriority w:val="99"/>
    <w:semiHidden/>
    <w:rsid w:val="00510E81"/>
    <w:rPr>
      <w:b/>
      <w:bCs/>
      <w:sz w:val="20"/>
      <w:szCs w:val="20"/>
    </w:rPr>
  </w:style>
  <w:style w:type="paragraph" w:styleId="EndnoteText">
    <w:name w:val="endnote text"/>
    <w:basedOn w:val="Normal"/>
    <w:link w:val="EndnoteTextChar"/>
    <w:uiPriority w:val="99"/>
    <w:semiHidden/>
    <w:unhideWhenUsed/>
    <w:rsid w:val="00510E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0E81"/>
    <w:rPr>
      <w:sz w:val="20"/>
      <w:szCs w:val="20"/>
    </w:rPr>
  </w:style>
  <w:style w:type="character" w:styleId="EndnoteReference">
    <w:name w:val="endnote reference"/>
    <w:basedOn w:val="DefaultParagraphFont"/>
    <w:uiPriority w:val="99"/>
    <w:semiHidden/>
    <w:unhideWhenUsed/>
    <w:rsid w:val="00510E81"/>
    <w:rPr>
      <w:vertAlign w:val="superscript"/>
    </w:rPr>
  </w:style>
  <w:style w:type="paragraph" w:styleId="Revision">
    <w:name w:val="Revision"/>
    <w:hidden/>
    <w:uiPriority w:val="99"/>
    <w:semiHidden/>
    <w:rsid w:val="00510E81"/>
    <w:pPr>
      <w:spacing w:after="0" w:line="240" w:lineRule="auto"/>
    </w:pPr>
  </w:style>
  <w:style w:type="paragraph" w:styleId="PlainText">
    <w:name w:val="Plain Text"/>
    <w:basedOn w:val="Normal"/>
    <w:link w:val="PlainTextChar"/>
    <w:uiPriority w:val="99"/>
    <w:semiHidden/>
    <w:unhideWhenUsed/>
    <w:rsid w:val="00D12F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12F4D"/>
    <w:rPr>
      <w:rFonts w:ascii="Calibri" w:hAnsi="Calibri"/>
      <w:szCs w:val="21"/>
    </w:rPr>
  </w:style>
  <w:style w:type="character" w:styleId="FollowedHyperlink">
    <w:name w:val="FollowedHyperlink"/>
    <w:basedOn w:val="DefaultParagraphFont"/>
    <w:uiPriority w:val="99"/>
    <w:semiHidden/>
    <w:unhideWhenUsed/>
    <w:rsid w:val="00785AF1"/>
    <w:rPr>
      <w:color w:val="800080" w:themeColor="followedHyperlink"/>
      <w:u w:val="single"/>
    </w:rPr>
  </w:style>
  <w:style w:type="paragraph" w:styleId="Title">
    <w:name w:val="Title"/>
    <w:basedOn w:val="Normal"/>
    <w:next w:val="Normal"/>
    <w:link w:val="TitleChar"/>
    <w:uiPriority w:val="10"/>
    <w:qFormat/>
    <w:rsid w:val="00EA4214"/>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A4214"/>
    <w:rPr>
      <w:rFonts w:asciiTheme="majorHAnsi" w:eastAsiaTheme="majorEastAsia" w:hAnsiTheme="majorHAnsi" w:cstheme="majorBidi"/>
      <w:spacing w:val="5"/>
      <w:kern w:val="28"/>
      <w:sz w:val="52"/>
      <w:szCs w:val="52"/>
    </w:rPr>
  </w:style>
  <w:style w:type="paragraph" w:styleId="Subtitle">
    <w:name w:val="Subtitle"/>
    <w:aliases w:val="Chart"/>
    <w:basedOn w:val="Normal"/>
    <w:next w:val="Normal"/>
    <w:link w:val="SubtitleChar"/>
    <w:uiPriority w:val="11"/>
    <w:qFormat/>
    <w:rsid w:val="00D8738D"/>
    <w:pPr>
      <w:numPr>
        <w:ilvl w:val="1"/>
      </w:numPr>
      <w:jc w:val="center"/>
    </w:pPr>
    <w:rPr>
      <w:rFonts w:ascii="Calibri" w:eastAsiaTheme="majorEastAsia" w:hAnsi="Calibri" w:cstheme="majorBidi"/>
      <w:b/>
      <w:iCs/>
      <w:spacing w:val="15"/>
      <w:sz w:val="24"/>
      <w:szCs w:val="24"/>
    </w:rPr>
  </w:style>
  <w:style w:type="character" w:customStyle="1" w:styleId="SubtitleChar">
    <w:name w:val="Subtitle Char"/>
    <w:aliases w:val="Chart Char"/>
    <w:basedOn w:val="DefaultParagraphFont"/>
    <w:link w:val="Subtitle"/>
    <w:uiPriority w:val="11"/>
    <w:rsid w:val="00D8738D"/>
    <w:rPr>
      <w:rFonts w:ascii="Calibri" w:eastAsiaTheme="majorEastAsia" w:hAnsi="Calibri" w:cstheme="majorBidi"/>
      <w:b/>
      <w:iCs/>
      <w:spacing w:val="15"/>
      <w:sz w:val="24"/>
      <w:szCs w:val="24"/>
    </w:rPr>
  </w:style>
  <w:style w:type="character" w:customStyle="1" w:styleId="Heading5Char">
    <w:name w:val="Heading 5 Char"/>
    <w:basedOn w:val="DefaultParagraphFont"/>
    <w:link w:val="Heading5"/>
    <w:uiPriority w:val="9"/>
    <w:rsid w:val="00C768E1"/>
    <w:rPr>
      <w:rFonts w:ascii="Calibri" w:eastAsiaTheme="majorEastAsia" w:hAnsi="Calibri" w:cstheme="majorBidi"/>
      <w:b/>
    </w:rPr>
  </w:style>
  <w:style w:type="paragraph" w:styleId="NoSpacing">
    <w:name w:val="No Spacing"/>
    <w:uiPriority w:val="1"/>
    <w:qFormat/>
    <w:rsid w:val="00EA4214"/>
    <w:pPr>
      <w:spacing w:after="0" w:line="240" w:lineRule="auto"/>
    </w:pPr>
  </w:style>
  <w:style w:type="character" w:styleId="Strong">
    <w:name w:val="Strong"/>
    <w:basedOn w:val="DefaultParagraphFont"/>
    <w:uiPriority w:val="22"/>
    <w:qFormat/>
    <w:rsid w:val="005D6304"/>
    <w:rPr>
      <w:b/>
      <w:bCs/>
    </w:rPr>
  </w:style>
  <w:style w:type="paragraph" w:styleId="NormalWeb">
    <w:name w:val="Normal (Web)"/>
    <w:basedOn w:val="Normal"/>
    <w:uiPriority w:val="99"/>
    <w:unhideWhenUsed/>
    <w:rsid w:val="005D6304"/>
    <w:rPr>
      <w:rFonts w:ascii="Times New Roman" w:hAnsi="Times New Roman" w:cs="Times New Roman"/>
      <w:sz w:val="24"/>
      <w:szCs w:val="24"/>
    </w:rPr>
  </w:style>
  <w:style w:type="paragraph" w:customStyle="1" w:styleId="CVText">
    <w:name w:val="CV Text"/>
    <w:basedOn w:val="Normal"/>
    <w:rsid w:val="00E81264"/>
    <w:pPr>
      <w:spacing w:after="170" w:line="260" w:lineRule="exact"/>
    </w:pPr>
    <w:rPr>
      <w:rFonts w:ascii="Times New Roman" w:eastAsia="Times New Roman" w:hAnsi="Times New Roman" w:cs="Times New Roman"/>
      <w:sz w:val="24"/>
      <w:szCs w:val="20"/>
      <w:lang w:val="en-GB"/>
    </w:rPr>
  </w:style>
  <w:style w:type="paragraph" w:customStyle="1" w:styleId="CVFrameText">
    <w:name w:val="CV Frame Text"/>
    <w:basedOn w:val="Normal"/>
    <w:rsid w:val="00FF3A87"/>
    <w:pPr>
      <w:spacing w:after="0" w:line="260" w:lineRule="exact"/>
      <w:ind w:left="340" w:right="340"/>
    </w:pPr>
    <w:rPr>
      <w:rFonts w:ascii="Times New Roman" w:eastAsia="Times New Roman" w:hAnsi="Times New Roman" w:cs="Times New Roman"/>
      <w:sz w:val="24"/>
      <w:szCs w:val="20"/>
      <w:lang w:val="en-GB"/>
    </w:rPr>
  </w:style>
  <w:style w:type="paragraph" w:customStyle="1" w:styleId="BasicParagraph">
    <w:name w:val="[Basic Paragraph]"/>
    <w:basedOn w:val="Normal"/>
    <w:uiPriority w:val="99"/>
    <w:rsid w:val="0061764B"/>
    <w:pPr>
      <w:suppressAutoHyphens/>
      <w:autoSpaceDE w:val="0"/>
      <w:autoSpaceDN w:val="0"/>
      <w:adjustRightInd w:val="0"/>
      <w:spacing w:before="200" w:after="0" w:line="260" w:lineRule="atLeast"/>
      <w:textAlignment w:val="center"/>
    </w:pPr>
    <w:rPr>
      <w:rFonts w:ascii="Myriad Pro" w:hAnsi="Myriad Pro" w:cs="Myriad Pro"/>
      <w:color w:val="000000"/>
      <w:sz w:val="18"/>
      <w:szCs w:val="18"/>
    </w:rPr>
  </w:style>
  <w:style w:type="character" w:styleId="BookTitle">
    <w:name w:val="Book Title"/>
    <w:aliases w:val="Balloon"/>
    <w:basedOn w:val="DefaultParagraphFont"/>
    <w:uiPriority w:val="33"/>
    <w:qFormat/>
    <w:rsid w:val="00D8738D"/>
    <w:rPr>
      <w:rFonts w:asciiTheme="minorHAnsi" w:hAnsiTheme="minorHAnsi"/>
      <w:b/>
      <w:bCs/>
      <w:caps w:val="0"/>
      <w:smallCaps w:val="0"/>
      <w:strike w:val="0"/>
      <w:dstrike w:val="0"/>
      <w:vanish w:val="0"/>
      <w:spacing w:val="5"/>
      <w:vertAlign w:val="baseline"/>
    </w:rPr>
  </w:style>
  <w:style w:type="character" w:customStyle="1" w:styleId="tgc">
    <w:name w:val="_tgc"/>
    <w:basedOn w:val="DefaultParagraphFont"/>
    <w:rsid w:val="0017599F"/>
  </w:style>
  <w:style w:type="paragraph" w:styleId="TableofFigures">
    <w:name w:val="table of figures"/>
    <w:basedOn w:val="Normal"/>
    <w:next w:val="Normal"/>
    <w:uiPriority w:val="99"/>
    <w:unhideWhenUsed/>
    <w:rsid w:val="0068516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4214"/>
    <w:pPr>
      <w:keepNext/>
      <w:keepLines/>
      <w:spacing w:before="480" w:after="0"/>
      <w:outlineLvl w:val="0"/>
    </w:pPr>
    <w:rPr>
      <w:rFonts w:asciiTheme="majorHAnsi" w:eastAsiaTheme="majorEastAsia" w:hAnsiTheme="majorHAnsi" w:cstheme="majorBidi"/>
      <w:bCs/>
      <w:sz w:val="40"/>
      <w:szCs w:val="28"/>
    </w:rPr>
  </w:style>
  <w:style w:type="paragraph" w:styleId="Heading2">
    <w:name w:val="heading 2"/>
    <w:basedOn w:val="Normal"/>
    <w:next w:val="Normal"/>
    <w:link w:val="Heading2Char"/>
    <w:uiPriority w:val="9"/>
    <w:unhideWhenUsed/>
    <w:qFormat/>
    <w:rsid w:val="00EA4214"/>
    <w:pPr>
      <w:keepNext/>
      <w:keepLines/>
      <w:spacing w:before="200" w:after="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unhideWhenUsed/>
    <w:qFormat/>
    <w:rsid w:val="00EA4214"/>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A4214"/>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768E1"/>
    <w:pPr>
      <w:keepNext/>
      <w:keepLines/>
      <w:spacing w:before="200" w:after="0"/>
      <w:jc w:val="center"/>
      <w:outlineLvl w:val="4"/>
    </w:pPr>
    <w:rPr>
      <w:rFonts w:ascii="Calibri" w:eastAsiaTheme="majorEastAsia" w:hAnsi="Calibr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946"/>
  </w:style>
  <w:style w:type="paragraph" w:styleId="Footer">
    <w:name w:val="footer"/>
    <w:basedOn w:val="Normal"/>
    <w:link w:val="FooterChar"/>
    <w:uiPriority w:val="99"/>
    <w:unhideWhenUsed/>
    <w:rsid w:val="0095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946"/>
  </w:style>
  <w:style w:type="paragraph" w:styleId="ListParagraph">
    <w:name w:val="List Paragraph"/>
    <w:basedOn w:val="Normal"/>
    <w:uiPriority w:val="34"/>
    <w:qFormat/>
    <w:rsid w:val="00953946"/>
    <w:pPr>
      <w:ind w:left="720"/>
      <w:contextualSpacing/>
    </w:pPr>
  </w:style>
  <w:style w:type="character" w:customStyle="1" w:styleId="Heading2Char">
    <w:name w:val="Heading 2 Char"/>
    <w:basedOn w:val="DefaultParagraphFont"/>
    <w:link w:val="Heading2"/>
    <w:uiPriority w:val="9"/>
    <w:rsid w:val="00EA4214"/>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EA4214"/>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EA4214"/>
    <w:rPr>
      <w:rFonts w:asciiTheme="majorHAnsi" w:eastAsiaTheme="majorEastAsia" w:hAnsiTheme="majorHAnsi" w:cstheme="majorBidi"/>
      <w:bCs/>
      <w:sz w:val="40"/>
      <w:szCs w:val="28"/>
    </w:rPr>
  </w:style>
  <w:style w:type="table" w:styleId="TableGrid">
    <w:name w:val="Table Grid"/>
    <w:basedOn w:val="TableNormal"/>
    <w:uiPriority w:val="59"/>
    <w:rsid w:val="002A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dyText">
    <w:name w:val="Level 4 Body Text"/>
    <w:basedOn w:val="Normal"/>
    <w:rsid w:val="004B0264"/>
    <w:pPr>
      <w:widowControl w:val="0"/>
      <w:spacing w:after="0" w:line="240" w:lineRule="auto"/>
      <w:ind w:left="1080"/>
      <w:contextualSpacing/>
    </w:pPr>
    <w:rPr>
      <w:rFonts w:ascii="Arial" w:eastAsia="Times New Roman" w:hAnsi="Arial" w:cs="Arial"/>
      <w:snapToGrid w:val="0"/>
      <w:sz w:val="24"/>
      <w:szCs w:val="24"/>
    </w:rPr>
  </w:style>
  <w:style w:type="paragraph" w:styleId="BalloonText">
    <w:name w:val="Balloon Text"/>
    <w:basedOn w:val="Normal"/>
    <w:link w:val="BalloonTextChar"/>
    <w:uiPriority w:val="99"/>
    <w:unhideWhenUsed/>
    <w:rsid w:val="004B0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0264"/>
    <w:rPr>
      <w:rFonts w:ascii="Tahoma" w:hAnsi="Tahoma" w:cs="Tahoma"/>
      <w:sz w:val="16"/>
      <w:szCs w:val="16"/>
    </w:rPr>
  </w:style>
  <w:style w:type="paragraph" w:styleId="TOCHeading">
    <w:name w:val="TOC Heading"/>
    <w:basedOn w:val="Heading1"/>
    <w:next w:val="Normal"/>
    <w:uiPriority w:val="39"/>
    <w:semiHidden/>
    <w:unhideWhenUsed/>
    <w:qFormat/>
    <w:rsid w:val="004B0264"/>
    <w:pPr>
      <w:outlineLvl w:val="9"/>
    </w:pPr>
    <w:rPr>
      <w:lang w:eastAsia="ja-JP"/>
    </w:rPr>
  </w:style>
  <w:style w:type="paragraph" w:styleId="TOC1">
    <w:name w:val="toc 1"/>
    <w:basedOn w:val="Normal"/>
    <w:next w:val="Normal"/>
    <w:autoRedefine/>
    <w:uiPriority w:val="39"/>
    <w:unhideWhenUsed/>
    <w:qFormat/>
    <w:rsid w:val="004B0264"/>
    <w:pPr>
      <w:spacing w:after="100"/>
    </w:pPr>
  </w:style>
  <w:style w:type="paragraph" w:styleId="TOC2">
    <w:name w:val="toc 2"/>
    <w:basedOn w:val="Normal"/>
    <w:next w:val="Normal"/>
    <w:autoRedefine/>
    <w:uiPriority w:val="39"/>
    <w:unhideWhenUsed/>
    <w:qFormat/>
    <w:rsid w:val="00A95115"/>
    <w:pPr>
      <w:tabs>
        <w:tab w:val="right" w:leader="dot" w:pos="9350"/>
      </w:tabs>
      <w:spacing w:after="100"/>
      <w:ind w:left="220"/>
    </w:pPr>
    <w:rPr>
      <w:rFonts w:ascii="Calibri" w:hAnsi="Calibri"/>
      <w:noProof/>
    </w:rPr>
  </w:style>
  <w:style w:type="paragraph" w:styleId="TOC3">
    <w:name w:val="toc 3"/>
    <w:basedOn w:val="Normal"/>
    <w:next w:val="Normal"/>
    <w:autoRedefine/>
    <w:uiPriority w:val="39"/>
    <w:unhideWhenUsed/>
    <w:qFormat/>
    <w:rsid w:val="004B0264"/>
    <w:pPr>
      <w:spacing w:after="100"/>
      <w:ind w:left="440"/>
    </w:pPr>
  </w:style>
  <w:style w:type="character" w:styleId="Hyperlink">
    <w:name w:val="Hyperlink"/>
    <w:basedOn w:val="DefaultParagraphFont"/>
    <w:uiPriority w:val="99"/>
    <w:unhideWhenUsed/>
    <w:rsid w:val="004B0264"/>
    <w:rPr>
      <w:color w:val="0000FF" w:themeColor="hyperlink"/>
      <w:u w:val="single"/>
    </w:rPr>
  </w:style>
  <w:style w:type="paragraph" w:customStyle="1" w:styleId="Default">
    <w:name w:val="Default"/>
    <w:rsid w:val="00E548D9"/>
    <w:pPr>
      <w:autoSpaceDE w:val="0"/>
      <w:autoSpaceDN w:val="0"/>
      <w:adjustRightInd w:val="0"/>
      <w:spacing w:after="0" w:line="240" w:lineRule="auto"/>
    </w:pPr>
    <w:rPr>
      <w:rFonts w:ascii="Corbel" w:hAnsi="Corbel" w:cs="Corbel"/>
      <w:color w:val="000000"/>
      <w:sz w:val="24"/>
      <w:szCs w:val="24"/>
    </w:rPr>
  </w:style>
  <w:style w:type="paragraph" w:styleId="FootnoteText">
    <w:name w:val="footnote text"/>
    <w:basedOn w:val="Normal"/>
    <w:link w:val="FootnoteTextChar"/>
    <w:uiPriority w:val="99"/>
    <w:semiHidden/>
    <w:unhideWhenUsed/>
    <w:rsid w:val="006B1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13C"/>
    <w:rPr>
      <w:sz w:val="20"/>
      <w:szCs w:val="20"/>
    </w:rPr>
  </w:style>
  <w:style w:type="character" w:styleId="FootnoteReference">
    <w:name w:val="footnote reference"/>
    <w:basedOn w:val="DefaultParagraphFont"/>
    <w:uiPriority w:val="99"/>
    <w:semiHidden/>
    <w:unhideWhenUsed/>
    <w:rsid w:val="006B113C"/>
    <w:rPr>
      <w:vertAlign w:val="superscript"/>
    </w:rPr>
  </w:style>
  <w:style w:type="character" w:customStyle="1" w:styleId="Heading4Char">
    <w:name w:val="Heading 4 Char"/>
    <w:basedOn w:val="DefaultParagraphFont"/>
    <w:link w:val="Heading4"/>
    <w:uiPriority w:val="9"/>
    <w:rsid w:val="00EA4214"/>
    <w:rPr>
      <w:rFonts w:asciiTheme="majorHAnsi" w:eastAsiaTheme="majorEastAsia" w:hAnsiTheme="majorHAnsi" w:cstheme="majorBidi"/>
      <w:b/>
      <w:bCs/>
      <w:i/>
      <w:iCs/>
    </w:rPr>
  </w:style>
  <w:style w:type="character" w:styleId="CommentReference">
    <w:name w:val="annotation reference"/>
    <w:basedOn w:val="DefaultParagraphFont"/>
    <w:uiPriority w:val="99"/>
    <w:semiHidden/>
    <w:unhideWhenUsed/>
    <w:rsid w:val="00510E81"/>
    <w:rPr>
      <w:sz w:val="16"/>
      <w:szCs w:val="16"/>
    </w:rPr>
  </w:style>
  <w:style w:type="paragraph" w:styleId="CommentText">
    <w:name w:val="annotation text"/>
    <w:basedOn w:val="Normal"/>
    <w:link w:val="CommentTextChar"/>
    <w:uiPriority w:val="99"/>
    <w:semiHidden/>
    <w:unhideWhenUsed/>
    <w:rsid w:val="00510E81"/>
    <w:pPr>
      <w:spacing w:line="240" w:lineRule="auto"/>
    </w:pPr>
    <w:rPr>
      <w:sz w:val="20"/>
      <w:szCs w:val="20"/>
    </w:rPr>
  </w:style>
  <w:style w:type="character" w:customStyle="1" w:styleId="CommentTextChar">
    <w:name w:val="Comment Text Char"/>
    <w:basedOn w:val="DefaultParagraphFont"/>
    <w:link w:val="CommentText"/>
    <w:uiPriority w:val="99"/>
    <w:semiHidden/>
    <w:rsid w:val="00510E81"/>
    <w:rPr>
      <w:sz w:val="20"/>
      <w:szCs w:val="20"/>
    </w:rPr>
  </w:style>
  <w:style w:type="paragraph" w:styleId="CommentSubject">
    <w:name w:val="annotation subject"/>
    <w:basedOn w:val="CommentText"/>
    <w:next w:val="CommentText"/>
    <w:link w:val="CommentSubjectChar"/>
    <w:uiPriority w:val="99"/>
    <w:semiHidden/>
    <w:unhideWhenUsed/>
    <w:rsid w:val="00510E81"/>
    <w:rPr>
      <w:b/>
      <w:bCs/>
    </w:rPr>
  </w:style>
  <w:style w:type="character" w:customStyle="1" w:styleId="CommentSubjectChar">
    <w:name w:val="Comment Subject Char"/>
    <w:basedOn w:val="CommentTextChar"/>
    <w:link w:val="CommentSubject"/>
    <w:uiPriority w:val="99"/>
    <w:semiHidden/>
    <w:rsid w:val="00510E81"/>
    <w:rPr>
      <w:b/>
      <w:bCs/>
      <w:sz w:val="20"/>
      <w:szCs w:val="20"/>
    </w:rPr>
  </w:style>
  <w:style w:type="paragraph" w:styleId="EndnoteText">
    <w:name w:val="endnote text"/>
    <w:basedOn w:val="Normal"/>
    <w:link w:val="EndnoteTextChar"/>
    <w:uiPriority w:val="99"/>
    <w:semiHidden/>
    <w:unhideWhenUsed/>
    <w:rsid w:val="00510E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0E81"/>
    <w:rPr>
      <w:sz w:val="20"/>
      <w:szCs w:val="20"/>
    </w:rPr>
  </w:style>
  <w:style w:type="character" w:styleId="EndnoteReference">
    <w:name w:val="endnote reference"/>
    <w:basedOn w:val="DefaultParagraphFont"/>
    <w:uiPriority w:val="99"/>
    <w:semiHidden/>
    <w:unhideWhenUsed/>
    <w:rsid w:val="00510E81"/>
    <w:rPr>
      <w:vertAlign w:val="superscript"/>
    </w:rPr>
  </w:style>
  <w:style w:type="paragraph" w:styleId="Revision">
    <w:name w:val="Revision"/>
    <w:hidden/>
    <w:uiPriority w:val="99"/>
    <w:semiHidden/>
    <w:rsid w:val="00510E81"/>
    <w:pPr>
      <w:spacing w:after="0" w:line="240" w:lineRule="auto"/>
    </w:pPr>
  </w:style>
  <w:style w:type="paragraph" w:styleId="PlainText">
    <w:name w:val="Plain Text"/>
    <w:basedOn w:val="Normal"/>
    <w:link w:val="PlainTextChar"/>
    <w:uiPriority w:val="99"/>
    <w:semiHidden/>
    <w:unhideWhenUsed/>
    <w:rsid w:val="00D12F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12F4D"/>
    <w:rPr>
      <w:rFonts w:ascii="Calibri" w:hAnsi="Calibri"/>
      <w:szCs w:val="21"/>
    </w:rPr>
  </w:style>
  <w:style w:type="character" w:styleId="FollowedHyperlink">
    <w:name w:val="FollowedHyperlink"/>
    <w:basedOn w:val="DefaultParagraphFont"/>
    <w:uiPriority w:val="99"/>
    <w:semiHidden/>
    <w:unhideWhenUsed/>
    <w:rsid w:val="00785AF1"/>
    <w:rPr>
      <w:color w:val="800080" w:themeColor="followedHyperlink"/>
      <w:u w:val="single"/>
    </w:rPr>
  </w:style>
  <w:style w:type="paragraph" w:styleId="Title">
    <w:name w:val="Title"/>
    <w:basedOn w:val="Normal"/>
    <w:next w:val="Normal"/>
    <w:link w:val="TitleChar"/>
    <w:uiPriority w:val="10"/>
    <w:qFormat/>
    <w:rsid w:val="00EA4214"/>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A4214"/>
    <w:rPr>
      <w:rFonts w:asciiTheme="majorHAnsi" w:eastAsiaTheme="majorEastAsia" w:hAnsiTheme="majorHAnsi" w:cstheme="majorBidi"/>
      <w:spacing w:val="5"/>
      <w:kern w:val="28"/>
      <w:sz w:val="52"/>
      <w:szCs w:val="52"/>
    </w:rPr>
  </w:style>
  <w:style w:type="paragraph" w:styleId="Subtitle">
    <w:name w:val="Subtitle"/>
    <w:aliases w:val="Chart"/>
    <w:basedOn w:val="Normal"/>
    <w:next w:val="Normal"/>
    <w:link w:val="SubtitleChar"/>
    <w:uiPriority w:val="11"/>
    <w:qFormat/>
    <w:rsid w:val="00D8738D"/>
    <w:pPr>
      <w:numPr>
        <w:ilvl w:val="1"/>
      </w:numPr>
      <w:jc w:val="center"/>
    </w:pPr>
    <w:rPr>
      <w:rFonts w:ascii="Calibri" w:eastAsiaTheme="majorEastAsia" w:hAnsi="Calibri" w:cstheme="majorBidi"/>
      <w:b/>
      <w:iCs/>
      <w:spacing w:val="15"/>
      <w:sz w:val="24"/>
      <w:szCs w:val="24"/>
    </w:rPr>
  </w:style>
  <w:style w:type="character" w:customStyle="1" w:styleId="SubtitleChar">
    <w:name w:val="Subtitle Char"/>
    <w:aliases w:val="Chart Char"/>
    <w:basedOn w:val="DefaultParagraphFont"/>
    <w:link w:val="Subtitle"/>
    <w:uiPriority w:val="11"/>
    <w:rsid w:val="00D8738D"/>
    <w:rPr>
      <w:rFonts w:ascii="Calibri" w:eastAsiaTheme="majorEastAsia" w:hAnsi="Calibri" w:cstheme="majorBidi"/>
      <w:b/>
      <w:iCs/>
      <w:spacing w:val="15"/>
      <w:sz w:val="24"/>
      <w:szCs w:val="24"/>
    </w:rPr>
  </w:style>
  <w:style w:type="character" w:customStyle="1" w:styleId="Heading5Char">
    <w:name w:val="Heading 5 Char"/>
    <w:basedOn w:val="DefaultParagraphFont"/>
    <w:link w:val="Heading5"/>
    <w:uiPriority w:val="9"/>
    <w:rsid w:val="00C768E1"/>
    <w:rPr>
      <w:rFonts w:ascii="Calibri" w:eastAsiaTheme="majorEastAsia" w:hAnsi="Calibri" w:cstheme="majorBidi"/>
      <w:b/>
    </w:rPr>
  </w:style>
  <w:style w:type="paragraph" w:styleId="NoSpacing">
    <w:name w:val="No Spacing"/>
    <w:uiPriority w:val="1"/>
    <w:qFormat/>
    <w:rsid w:val="00EA4214"/>
    <w:pPr>
      <w:spacing w:after="0" w:line="240" w:lineRule="auto"/>
    </w:pPr>
  </w:style>
  <w:style w:type="character" w:styleId="Strong">
    <w:name w:val="Strong"/>
    <w:basedOn w:val="DefaultParagraphFont"/>
    <w:uiPriority w:val="22"/>
    <w:qFormat/>
    <w:rsid w:val="005D6304"/>
    <w:rPr>
      <w:b/>
      <w:bCs/>
    </w:rPr>
  </w:style>
  <w:style w:type="paragraph" w:styleId="NormalWeb">
    <w:name w:val="Normal (Web)"/>
    <w:basedOn w:val="Normal"/>
    <w:uiPriority w:val="99"/>
    <w:unhideWhenUsed/>
    <w:rsid w:val="005D6304"/>
    <w:rPr>
      <w:rFonts w:ascii="Times New Roman" w:hAnsi="Times New Roman" w:cs="Times New Roman"/>
      <w:sz w:val="24"/>
      <w:szCs w:val="24"/>
    </w:rPr>
  </w:style>
  <w:style w:type="paragraph" w:customStyle="1" w:styleId="CVText">
    <w:name w:val="CV Text"/>
    <w:basedOn w:val="Normal"/>
    <w:rsid w:val="00E81264"/>
    <w:pPr>
      <w:spacing w:after="170" w:line="260" w:lineRule="exact"/>
    </w:pPr>
    <w:rPr>
      <w:rFonts w:ascii="Times New Roman" w:eastAsia="Times New Roman" w:hAnsi="Times New Roman" w:cs="Times New Roman"/>
      <w:sz w:val="24"/>
      <w:szCs w:val="20"/>
      <w:lang w:val="en-GB"/>
    </w:rPr>
  </w:style>
  <w:style w:type="paragraph" w:customStyle="1" w:styleId="CVFrameText">
    <w:name w:val="CV Frame Text"/>
    <w:basedOn w:val="Normal"/>
    <w:rsid w:val="00FF3A87"/>
    <w:pPr>
      <w:spacing w:after="0" w:line="260" w:lineRule="exact"/>
      <w:ind w:left="340" w:right="340"/>
    </w:pPr>
    <w:rPr>
      <w:rFonts w:ascii="Times New Roman" w:eastAsia="Times New Roman" w:hAnsi="Times New Roman" w:cs="Times New Roman"/>
      <w:sz w:val="24"/>
      <w:szCs w:val="20"/>
      <w:lang w:val="en-GB"/>
    </w:rPr>
  </w:style>
  <w:style w:type="paragraph" w:customStyle="1" w:styleId="BasicParagraph">
    <w:name w:val="[Basic Paragraph]"/>
    <w:basedOn w:val="Normal"/>
    <w:uiPriority w:val="99"/>
    <w:rsid w:val="0061764B"/>
    <w:pPr>
      <w:suppressAutoHyphens/>
      <w:autoSpaceDE w:val="0"/>
      <w:autoSpaceDN w:val="0"/>
      <w:adjustRightInd w:val="0"/>
      <w:spacing w:before="200" w:after="0" w:line="260" w:lineRule="atLeast"/>
      <w:textAlignment w:val="center"/>
    </w:pPr>
    <w:rPr>
      <w:rFonts w:ascii="Myriad Pro" w:hAnsi="Myriad Pro" w:cs="Myriad Pro"/>
      <w:color w:val="000000"/>
      <w:sz w:val="18"/>
      <w:szCs w:val="18"/>
    </w:rPr>
  </w:style>
  <w:style w:type="character" w:styleId="BookTitle">
    <w:name w:val="Book Title"/>
    <w:aliases w:val="Balloon"/>
    <w:basedOn w:val="DefaultParagraphFont"/>
    <w:uiPriority w:val="33"/>
    <w:qFormat/>
    <w:rsid w:val="00D8738D"/>
    <w:rPr>
      <w:rFonts w:asciiTheme="minorHAnsi" w:hAnsiTheme="minorHAnsi"/>
      <w:b/>
      <w:bCs/>
      <w:caps w:val="0"/>
      <w:smallCaps w:val="0"/>
      <w:strike w:val="0"/>
      <w:dstrike w:val="0"/>
      <w:vanish w:val="0"/>
      <w:spacing w:val="5"/>
      <w:vertAlign w:val="baseline"/>
    </w:rPr>
  </w:style>
  <w:style w:type="character" w:customStyle="1" w:styleId="tgc">
    <w:name w:val="_tgc"/>
    <w:basedOn w:val="DefaultParagraphFont"/>
    <w:rsid w:val="0017599F"/>
  </w:style>
  <w:style w:type="paragraph" w:styleId="TableofFigures">
    <w:name w:val="table of figures"/>
    <w:basedOn w:val="Normal"/>
    <w:next w:val="Normal"/>
    <w:uiPriority w:val="99"/>
    <w:unhideWhenUsed/>
    <w:rsid w:val="0068516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612">
      <w:bodyDiv w:val="1"/>
      <w:marLeft w:val="0"/>
      <w:marRight w:val="0"/>
      <w:marTop w:val="0"/>
      <w:marBottom w:val="0"/>
      <w:divBdr>
        <w:top w:val="none" w:sz="0" w:space="0" w:color="auto"/>
        <w:left w:val="none" w:sz="0" w:space="0" w:color="auto"/>
        <w:bottom w:val="none" w:sz="0" w:space="0" w:color="auto"/>
        <w:right w:val="none" w:sz="0" w:space="0" w:color="auto"/>
      </w:divBdr>
    </w:div>
    <w:div w:id="158422663">
      <w:bodyDiv w:val="1"/>
      <w:marLeft w:val="0"/>
      <w:marRight w:val="0"/>
      <w:marTop w:val="0"/>
      <w:marBottom w:val="0"/>
      <w:divBdr>
        <w:top w:val="none" w:sz="0" w:space="0" w:color="auto"/>
        <w:left w:val="none" w:sz="0" w:space="0" w:color="auto"/>
        <w:bottom w:val="none" w:sz="0" w:space="0" w:color="auto"/>
        <w:right w:val="none" w:sz="0" w:space="0" w:color="auto"/>
      </w:divBdr>
    </w:div>
    <w:div w:id="330792013">
      <w:bodyDiv w:val="1"/>
      <w:marLeft w:val="0"/>
      <w:marRight w:val="0"/>
      <w:marTop w:val="0"/>
      <w:marBottom w:val="0"/>
      <w:divBdr>
        <w:top w:val="none" w:sz="0" w:space="0" w:color="auto"/>
        <w:left w:val="none" w:sz="0" w:space="0" w:color="auto"/>
        <w:bottom w:val="none" w:sz="0" w:space="0" w:color="auto"/>
        <w:right w:val="none" w:sz="0" w:space="0" w:color="auto"/>
      </w:divBdr>
    </w:div>
    <w:div w:id="367267977">
      <w:bodyDiv w:val="1"/>
      <w:marLeft w:val="0"/>
      <w:marRight w:val="0"/>
      <w:marTop w:val="0"/>
      <w:marBottom w:val="0"/>
      <w:divBdr>
        <w:top w:val="none" w:sz="0" w:space="0" w:color="auto"/>
        <w:left w:val="none" w:sz="0" w:space="0" w:color="auto"/>
        <w:bottom w:val="none" w:sz="0" w:space="0" w:color="auto"/>
        <w:right w:val="none" w:sz="0" w:space="0" w:color="auto"/>
      </w:divBdr>
      <w:divsChild>
        <w:div w:id="2109303739">
          <w:marLeft w:val="0"/>
          <w:marRight w:val="0"/>
          <w:marTop w:val="0"/>
          <w:marBottom w:val="0"/>
          <w:divBdr>
            <w:top w:val="none" w:sz="0" w:space="0" w:color="auto"/>
            <w:left w:val="none" w:sz="0" w:space="0" w:color="auto"/>
            <w:bottom w:val="none" w:sz="0" w:space="0" w:color="auto"/>
            <w:right w:val="none" w:sz="0" w:space="0" w:color="auto"/>
          </w:divBdr>
          <w:divsChild>
            <w:div w:id="1762604489">
              <w:marLeft w:val="0"/>
              <w:marRight w:val="0"/>
              <w:marTop w:val="0"/>
              <w:marBottom w:val="0"/>
              <w:divBdr>
                <w:top w:val="none" w:sz="0" w:space="0" w:color="auto"/>
                <w:left w:val="none" w:sz="0" w:space="0" w:color="auto"/>
                <w:bottom w:val="none" w:sz="0" w:space="0" w:color="auto"/>
                <w:right w:val="none" w:sz="0" w:space="0" w:color="auto"/>
              </w:divBdr>
              <w:divsChild>
                <w:div w:id="510876474">
                  <w:marLeft w:val="0"/>
                  <w:marRight w:val="0"/>
                  <w:marTop w:val="0"/>
                  <w:marBottom w:val="0"/>
                  <w:divBdr>
                    <w:top w:val="none" w:sz="0" w:space="0" w:color="auto"/>
                    <w:left w:val="none" w:sz="0" w:space="0" w:color="auto"/>
                    <w:bottom w:val="none" w:sz="0" w:space="0" w:color="auto"/>
                    <w:right w:val="none" w:sz="0" w:space="0" w:color="auto"/>
                  </w:divBdr>
                  <w:divsChild>
                    <w:div w:id="1868643356">
                      <w:marLeft w:val="0"/>
                      <w:marRight w:val="0"/>
                      <w:marTop w:val="0"/>
                      <w:marBottom w:val="0"/>
                      <w:divBdr>
                        <w:top w:val="none" w:sz="0" w:space="0" w:color="auto"/>
                        <w:left w:val="none" w:sz="0" w:space="0" w:color="auto"/>
                        <w:bottom w:val="none" w:sz="0" w:space="0" w:color="auto"/>
                        <w:right w:val="none" w:sz="0" w:space="0" w:color="auto"/>
                      </w:divBdr>
                      <w:divsChild>
                        <w:div w:id="726756342">
                          <w:marLeft w:val="0"/>
                          <w:marRight w:val="0"/>
                          <w:marTop w:val="0"/>
                          <w:marBottom w:val="0"/>
                          <w:divBdr>
                            <w:top w:val="none" w:sz="0" w:space="0" w:color="auto"/>
                            <w:left w:val="none" w:sz="0" w:space="0" w:color="auto"/>
                            <w:bottom w:val="none" w:sz="0" w:space="0" w:color="auto"/>
                            <w:right w:val="none" w:sz="0" w:space="0" w:color="auto"/>
                          </w:divBdr>
                          <w:divsChild>
                            <w:div w:id="173619759">
                              <w:marLeft w:val="0"/>
                              <w:marRight w:val="0"/>
                              <w:marTop w:val="0"/>
                              <w:marBottom w:val="0"/>
                              <w:divBdr>
                                <w:top w:val="none" w:sz="0" w:space="0" w:color="auto"/>
                                <w:left w:val="none" w:sz="0" w:space="0" w:color="auto"/>
                                <w:bottom w:val="none" w:sz="0" w:space="0" w:color="auto"/>
                                <w:right w:val="none" w:sz="0" w:space="0" w:color="auto"/>
                              </w:divBdr>
                              <w:divsChild>
                                <w:div w:id="549342544">
                                  <w:marLeft w:val="0"/>
                                  <w:marRight w:val="0"/>
                                  <w:marTop w:val="0"/>
                                  <w:marBottom w:val="0"/>
                                  <w:divBdr>
                                    <w:top w:val="none" w:sz="0" w:space="0" w:color="auto"/>
                                    <w:left w:val="none" w:sz="0" w:space="0" w:color="auto"/>
                                    <w:bottom w:val="none" w:sz="0" w:space="0" w:color="auto"/>
                                    <w:right w:val="none" w:sz="0" w:space="0" w:color="auto"/>
                                  </w:divBdr>
                                  <w:divsChild>
                                    <w:div w:id="197478743">
                                      <w:marLeft w:val="0"/>
                                      <w:marRight w:val="0"/>
                                      <w:marTop w:val="0"/>
                                      <w:marBottom w:val="0"/>
                                      <w:divBdr>
                                        <w:top w:val="none" w:sz="0" w:space="0" w:color="auto"/>
                                        <w:left w:val="none" w:sz="0" w:space="0" w:color="auto"/>
                                        <w:bottom w:val="none" w:sz="0" w:space="0" w:color="auto"/>
                                        <w:right w:val="none" w:sz="0" w:space="0" w:color="auto"/>
                                      </w:divBdr>
                                      <w:divsChild>
                                        <w:div w:id="555898856">
                                          <w:marLeft w:val="0"/>
                                          <w:marRight w:val="0"/>
                                          <w:marTop w:val="0"/>
                                          <w:marBottom w:val="0"/>
                                          <w:divBdr>
                                            <w:top w:val="none" w:sz="0" w:space="0" w:color="auto"/>
                                            <w:left w:val="none" w:sz="0" w:space="0" w:color="auto"/>
                                            <w:bottom w:val="none" w:sz="0" w:space="0" w:color="auto"/>
                                            <w:right w:val="none" w:sz="0" w:space="0" w:color="auto"/>
                                          </w:divBdr>
                                          <w:divsChild>
                                            <w:div w:id="742335264">
                                              <w:marLeft w:val="0"/>
                                              <w:marRight w:val="0"/>
                                              <w:marTop w:val="0"/>
                                              <w:marBottom w:val="0"/>
                                              <w:divBdr>
                                                <w:top w:val="none" w:sz="0" w:space="0" w:color="auto"/>
                                                <w:left w:val="none" w:sz="0" w:space="0" w:color="auto"/>
                                                <w:bottom w:val="none" w:sz="0" w:space="0" w:color="auto"/>
                                                <w:right w:val="none" w:sz="0" w:space="0" w:color="auto"/>
                                              </w:divBdr>
                                              <w:divsChild>
                                                <w:div w:id="1212766072">
                                                  <w:marLeft w:val="0"/>
                                                  <w:marRight w:val="0"/>
                                                  <w:marTop w:val="0"/>
                                                  <w:marBottom w:val="0"/>
                                                  <w:divBdr>
                                                    <w:top w:val="none" w:sz="0" w:space="0" w:color="auto"/>
                                                    <w:left w:val="none" w:sz="0" w:space="0" w:color="auto"/>
                                                    <w:bottom w:val="none" w:sz="0" w:space="0" w:color="auto"/>
                                                    <w:right w:val="none" w:sz="0" w:space="0" w:color="auto"/>
                                                  </w:divBdr>
                                                  <w:divsChild>
                                                    <w:div w:id="1302274943">
                                                      <w:marLeft w:val="0"/>
                                                      <w:marRight w:val="0"/>
                                                      <w:marTop w:val="0"/>
                                                      <w:marBottom w:val="0"/>
                                                      <w:divBdr>
                                                        <w:top w:val="none" w:sz="0" w:space="0" w:color="auto"/>
                                                        <w:left w:val="none" w:sz="0" w:space="0" w:color="auto"/>
                                                        <w:bottom w:val="none" w:sz="0" w:space="0" w:color="auto"/>
                                                        <w:right w:val="none" w:sz="0" w:space="0" w:color="auto"/>
                                                      </w:divBdr>
                                                      <w:divsChild>
                                                        <w:div w:id="1488017753">
                                                          <w:marLeft w:val="0"/>
                                                          <w:marRight w:val="0"/>
                                                          <w:marTop w:val="0"/>
                                                          <w:marBottom w:val="0"/>
                                                          <w:divBdr>
                                                            <w:top w:val="none" w:sz="0" w:space="0" w:color="auto"/>
                                                            <w:left w:val="none" w:sz="0" w:space="0" w:color="auto"/>
                                                            <w:bottom w:val="none" w:sz="0" w:space="0" w:color="auto"/>
                                                            <w:right w:val="none" w:sz="0" w:space="0" w:color="auto"/>
                                                          </w:divBdr>
                                                          <w:divsChild>
                                                            <w:div w:id="1671567621">
                                                              <w:marLeft w:val="0"/>
                                                              <w:marRight w:val="0"/>
                                                              <w:marTop w:val="0"/>
                                                              <w:marBottom w:val="0"/>
                                                              <w:divBdr>
                                                                <w:top w:val="none" w:sz="0" w:space="0" w:color="auto"/>
                                                                <w:left w:val="none" w:sz="0" w:space="0" w:color="auto"/>
                                                                <w:bottom w:val="none" w:sz="0" w:space="0" w:color="auto"/>
                                                                <w:right w:val="none" w:sz="0" w:space="0" w:color="auto"/>
                                                              </w:divBdr>
                                                              <w:divsChild>
                                                                <w:div w:id="3022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4624066">
      <w:bodyDiv w:val="1"/>
      <w:marLeft w:val="0"/>
      <w:marRight w:val="0"/>
      <w:marTop w:val="0"/>
      <w:marBottom w:val="0"/>
      <w:divBdr>
        <w:top w:val="none" w:sz="0" w:space="0" w:color="auto"/>
        <w:left w:val="none" w:sz="0" w:space="0" w:color="auto"/>
        <w:bottom w:val="none" w:sz="0" w:space="0" w:color="auto"/>
        <w:right w:val="none" w:sz="0" w:space="0" w:color="auto"/>
      </w:divBdr>
    </w:div>
    <w:div w:id="477265840">
      <w:bodyDiv w:val="1"/>
      <w:marLeft w:val="0"/>
      <w:marRight w:val="0"/>
      <w:marTop w:val="0"/>
      <w:marBottom w:val="0"/>
      <w:divBdr>
        <w:top w:val="none" w:sz="0" w:space="0" w:color="auto"/>
        <w:left w:val="none" w:sz="0" w:space="0" w:color="auto"/>
        <w:bottom w:val="none" w:sz="0" w:space="0" w:color="auto"/>
        <w:right w:val="none" w:sz="0" w:space="0" w:color="auto"/>
      </w:divBdr>
    </w:div>
    <w:div w:id="761684652">
      <w:bodyDiv w:val="1"/>
      <w:marLeft w:val="0"/>
      <w:marRight w:val="0"/>
      <w:marTop w:val="0"/>
      <w:marBottom w:val="0"/>
      <w:divBdr>
        <w:top w:val="none" w:sz="0" w:space="0" w:color="auto"/>
        <w:left w:val="none" w:sz="0" w:space="0" w:color="auto"/>
        <w:bottom w:val="none" w:sz="0" w:space="0" w:color="auto"/>
        <w:right w:val="none" w:sz="0" w:space="0" w:color="auto"/>
      </w:divBdr>
    </w:div>
    <w:div w:id="900218588">
      <w:bodyDiv w:val="1"/>
      <w:marLeft w:val="0"/>
      <w:marRight w:val="0"/>
      <w:marTop w:val="0"/>
      <w:marBottom w:val="0"/>
      <w:divBdr>
        <w:top w:val="none" w:sz="0" w:space="0" w:color="auto"/>
        <w:left w:val="none" w:sz="0" w:space="0" w:color="auto"/>
        <w:bottom w:val="none" w:sz="0" w:space="0" w:color="auto"/>
        <w:right w:val="none" w:sz="0" w:space="0" w:color="auto"/>
      </w:divBdr>
    </w:div>
    <w:div w:id="930090404">
      <w:bodyDiv w:val="1"/>
      <w:marLeft w:val="0"/>
      <w:marRight w:val="0"/>
      <w:marTop w:val="0"/>
      <w:marBottom w:val="0"/>
      <w:divBdr>
        <w:top w:val="none" w:sz="0" w:space="0" w:color="auto"/>
        <w:left w:val="none" w:sz="0" w:space="0" w:color="auto"/>
        <w:bottom w:val="none" w:sz="0" w:space="0" w:color="auto"/>
        <w:right w:val="none" w:sz="0" w:space="0" w:color="auto"/>
      </w:divBdr>
    </w:div>
    <w:div w:id="1028532933">
      <w:bodyDiv w:val="1"/>
      <w:marLeft w:val="0"/>
      <w:marRight w:val="0"/>
      <w:marTop w:val="0"/>
      <w:marBottom w:val="0"/>
      <w:divBdr>
        <w:top w:val="none" w:sz="0" w:space="0" w:color="auto"/>
        <w:left w:val="none" w:sz="0" w:space="0" w:color="auto"/>
        <w:bottom w:val="none" w:sz="0" w:space="0" w:color="auto"/>
        <w:right w:val="none" w:sz="0" w:space="0" w:color="auto"/>
      </w:divBdr>
    </w:div>
    <w:div w:id="1091002430">
      <w:bodyDiv w:val="1"/>
      <w:marLeft w:val="0"/>
      <w:marRight w:val="0"/>
      <w:marTop w:val="0"/>
      <w:marBottom w:val="0"/>
      <w:divBdr>
        <w:top w:val="none" w:sz="0" w:space="0" w:color="auto"/>
        <w:left w:val="none" w:sz="0" w:space="0" w:color="auto"/>
        <w:bottom w:val="none" w:sz="0" w:space="0" w:color="auto"/>
        <w:right w:val="none" w:sz="0" w:space="0" w:color="auto"/>
      </w:divBdr>
    </w:div>
    <w:div w:id="1172839738">
      <w:bodyDiv w:val="1"/>
      <w:marLeft w:val="0"/>
      <w:marRight w:val="0"/>
      <w:marTop w:val="0"/>
      <w:marBottom w:val="0"/>
      <w:divBdr>
        <w:top w:val="none" w:sz="0" w:space="0" w:color="auto"/>
        <w:left w:val="none" w:sz="0" w:space="0" w:color="auto"/>
        <w:bottom w:val="none" w:sz="0" w:space="0" w:color="auto"/>
        <w:right w:val="none" w:sz="0" w:space="0" w:color="auto"/>
      </w:divBdr>
      <w:divsChild>
        <w:div w:id="1613391888">
          <w:marLeft w:val="0"/>
          <w:marRight w:val="0"/>
          <w:marTop w:val="0"/>
          <w:marBottom w:val="100"/>
          <w:divBdr>
            <w:top w:val="none" w:sz="0" w:space="0" w:color="auto"/>
            <w:left w:val="none" w:sz="0" w:space="0" w:color="auto"/>
            <w:bottom w:val="none" w:sz="0" w:space="0" w:color="auto"/>
            <w:right w:val="none" w:sz="0" w:space="0" w:color="auto"/>
          </w:divBdr>
          <w:divsChild>
            <w:div w:id="1227718510">
              <w:marLeft w:val="0"/>
              <w:marRight w:val="0"/>
              <w:marTop w:val="0"/>
              <w:marBottom w:val="0"/>
              <w:divBdr>
                <w:top w:val="none" w:sz="0" w:space="0" w:color="auto"/>
                <w:left w:val="none" w:sz="0" w:space="0" w:color="auto"/>
                <w:bottom w:val="none" w:sz="0" w:space="0" w:color="auto"/>
                <w:right w:val="none" w:sz="0" w:space="0" w:color="auto"/>
              </w:divBdr>
              <w:divsChild>
                <w:div w:id="691568194">
                  <w:marLeft w:val="300"/>
                  <w:marRight w:val="0"/>
                  <w:marTop w:val="0"/>
                  <w:marBottom w:val="0"/>
                  <w:divBdr>
                    <w:top w:val="none" w:sz="0" w:space="0" w:color="auto"/>
                    <w:left w:val="none" w:sz="0" w:space="0" w:color="auto"/>
                    <w:bottom w:val="none" w:sz="0" w:space="0" w:color="auto"/>
                    <w:right w:val="none" w:sz="0" w:space="0" w:color="auto"/>
                  </w:divBdr>
                  <w:divsChild>
                    <w:div w:id="92746603">
                      <w:marLeft w:val="0"/>
                      <w:marRight w:val="0"/>
                      <w:marTop w:val="0"/>
                      <w:marBottom w:val="0"/>
                      <w:divBdr>
                        <w:top w:val="none" w:sz="0" w:space="0" w:color="auto"/>
                        <w:left w:val="none" w:sz="0" w:space="0" w:color="auto"/>
                        <w:bottom w:val="none" w:sz="0" w:space="0" w:color="auto"/>
                        <w:right w:val="none" w:sz="0" w:space="0" w:color="auto"/>
                      </w:divBdr>
                      <w:divsChild>
                        <w:div w:id="1005476684">
                          <w:marLeft w:val="300"/>
                          <w:marRight w:val="0"/>
                          <w:marTop w:val="450"/>
                          <w:marBottom w:val="0"/>
                          <w:divBdr>
                            <w:top w:val="none" w:sz="0" w:space="0" w:color="auto"/>
                            <w:left w:val="none" w:sz="0" w:space="0" w:color="auto"/>
                            <w:bottom w:val="none" w:sz="0" w:space="0" w:color="auto"/>
                            <w:right w:val="none" w:sz="0" w:space="0" w:color="auto"/>
                          </w:divBdr>
                          <w:divsChild>
                            <w:div w:id="462119200">
                              <w:marLeft w:val="300"/>
                              <w:marRight w:val="0"/>
                              <w:marTop w:val="0"/>
                              <w:marBottom w:val="0"/>
                              <w:divBdr>
                                <w:top w:val="single" w:sz="36" w:space="15" w:color="FB6900"/>
                                <w:left w:val="none" w:sz="0" w:space="0" w:color="auto"/>
                                <w:bottom w:val="none" w:sz="0" w:space="0" w:color="auto"/>
                                <w:right w:val="none" w:sz="0" w:space="0" w:color="auto"/>
                              </w:divBdr>
                            </w:div>
                          </w:divsChild>
                        </w:div>
                      </w:divsChild>
                    </w:div>
                  </w:divsChild>
                </w:div>
              </w:divsChild>
            </w:div>
          </w:divsChild>
        </w:div>
      </w:divsChild>
    </w:div>
    <w:div w:id="1212108882">
      <w:bodyDiv w:val="1"/>
      <w:marLeft w:val="0"/>
      <w:marRight w:val="0"/>
      <w:marTop w:val="0"/>
      <w:marBottom w:val="0"/>
      <w:divBdr>
        <w:top w:val="none" w:sz="0" w:space="0" w:color="auto"/>
        <w:left w:val="none" w:sz="0" w:space="0" w:color="auto"/>
        <w:bottom w:val="none" w:sz="0" w:space="0" w:color="auto"/>
        <w:right w:val="none" w:sz="0" w:space="0" w:color="auto"/>
      </w:divBdr>
    </w:div>
    <w:div w:id="1460882203">
      <w:bodyDiv w:val="1"/>
      <w:marLeft w:val="0"/>
      <w:marRight w:val="0"/>
      <w:marTop w:val="0"/>
      <w:marBottom w:val="0"/>
      <w:divBdr>
        <w:top w:val="none" w:sz="0" w:space="0" w:color="auto"/>
        <w:left w:val="none" w:sz="0" w:space="0" w:color="auto"/>
        <w:bottom w:val="none" w:sz="0" w:space="0" w:color="auto"/>
        <w:right w:val="none" w:sz="0" w:space="0" w:color="auto"/>
      </w:divBdr>
    </w:div>
    <w:div w:id="1578400832">
      <w:bodyDiv w:val="1"/>
      <w:marLeft w:val="0"/>
      <w:marRight w:val="0"/>
      <w:marTop w:val="0"/>
      <w:marBottom w:val="0"/>
      <w:divBdr>
        <w:top w:val="none" w:sz="0" w:space="0" w:color="auto"/>
        <w:left w:val="none" w:sz="0" w:space="0" w:color="auto"/>
        <w:bottom w:val="none" w:sz="0" w:space="0" w:color="auto"/>
        <w:right w:val="none" w:sz="0" w:space="0" w:color="auto"/>
      </w:divBdr>
    </w:div>
    <w:div w:id="1658454502">
      <w:bodyDiv w:val="1"/>
      <w:marLeft w:val="0"/>
      <w:marRight w:val="0"/>
      <w:marTop w:val="0"/>
      <w:marBottom w:val="0"/>
      <w:divBdr>
        <w:top w:val="none" w:sz="0" w:space="0" w:color="auto"/>
        <w:left w:val="none" w:sz="0" w:space="0" w:color="auto"/>
        <w:bottom w:val="none" w:sz="0" w:space="0" w:color="auto"/>
        <w:right w:val="none" w:sz="0" w:space="0" w:color="auto"/>
      </w:divBdr>
    </w:div>
    <w:div w:id="1684431818">
      <w:bodyDiv w:val="1"/>
      <w:marLeft w:val="0"/>
      <w:marRight w:val="0"/>
      <w:marTop w:val="0"/>
      <w:marBottom w:val="0"/>
      <w:divBdr>
        <w:top w:val="none" w:sz="0" w:space="0" w:color="auto"/>
        <w:left w:val="none" w:sz="0" w:space="0" w:color="auto"/>
        <w:bottom w:val="none" w:sz="0" w:space="0" w:color="auto"/>
        <w:right w:val="none" w:sz="0" w:space="0" w:color="auto"/>
      </w:divBdr>
    </w:div>
    <w:div w:id="1837064220">
      <w:bodyDiv w:val="1"/>
      <w:marLeft w:val="0"/>
      <w:marRight w:val="0"/>
      <w:marTop w:val="0"/>
      <w:marBottom w:val="0"/>
      <w:divBdr>
        <w:top w:val="none" w:sz="0" w:space="0" w:color="auto"/>
        <w:left w:val="none" w:sz="0" w:space="0" w:color="auto"/>
        <w:bottom w:val="none" w:sz="0" w:space="0" w:color="auto"/>
        <w:right w:val="none" w:sz="0" w:space="0" w:color="auto"/>
      </w:divBdr>
    </w:div>
    <w:div w:id="2032023619">
      <w:bodyDiv w:val="1"/>
      <w:marLeft w:val="0"/>
      <w:marRight w:val="0"/>
      <w:marTop w:val="0"/>
      <w:marBottom w:val="0"/>
      <w:divBdr>
        <w:top w:val="none" w:sz="0" w:space="0" w:color="auto"/>
        <w:left w:val="none" w:sz="0" w:space="0" w:color="auto"/>
        <w:bottom w:val="none" w:sz="0" w:space="0" w:color="auto"/>
        <w:right w:val="none" w:sz="0" w:space="0" w:color="auto"/>
      </w:divBdr>
    </w:div>
    <w:div w:id="2038116687">
      <w:bodyDiv w:val="1"/>
      <w:marLeft w:val="0"/>
      <w:marRight w:val="0"/>
      <w:marTop w:val="0"/>
      <w:marBottom w:val="0"/>
      <w:divBdr>
        <w:top w:val="none" w:sz="0" w:space="0" w:color="auto"/>
        <w:left w:val="none" w:sz="0" w:space="0" w:color="auto"/>
        <w:bottom w:val="none" w:sz="0" w:space="0" w:color="auto"/>
        <w:right w:val="none" w:sz="0" w:space="0" w:color="auto"/>
      </w:divBdr>
    </w:div>
    <w:div w:id="20977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0.png"/><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chart" Target="charts/chart6.xml"/><Relationship Id="rId42" Type="http://schemas.openxmlformats.org/officeDocument/2006/relationships/image" Target="media/image21.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chart" Target="charts/chart5.xml"/><Relationship Id="rId38" Type="http://schemas.openxmlformats.org/officeDocument/2006/relationships/image" Target="media/image19.png"/><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chart" Target="charts/chart1.xml"/><Relationship Id="rId41"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24" Type="http://schemas.openxmlformats.org/officeDocument/2006/relationships/image" Target="media/image14.png"/><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chart" Target="charts/chart10.xml"/><Relationship Id="rId45" Type="http://schemas.openxmlformats.org/officeDocument/2006/relationships/image" Target="media/image24.png"/><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hart" Target="charts/chart8.xml"/><Relationship Id="rId49"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9.png"/><Relationship Id="rId31" Type="http://schemas.openxmlformats.org/officeDocument/2006/relationships/chart" Target="charts/chart3.xml"/><Relationship Id="rId44" Type="http://schemas.openxmlformats.org/officeDocument/2006/relationships/image" Target="media/image2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image" Target="media/image22.png"/><Relationship Id="rId48" Type="http://schemas.openxmlformats.org/officeDocument/2006/relationships/footer" Target="footer2.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catcher.sandiego.edu/items/usdlaw/EPIC-GHG-2013.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Existing%20Conditions%20Report\San%20Diego%20County%20Alternative%20Fuel%20Infrastructur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background%20and%20reading\Copy%20of%20San%20Diego%20County%20Voucher%20Redemption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background%20and%20reading\CVRPStats_J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Existing%20Conditions%20Report\San%20Diego%20County%20Alternative%20Fuel%20Infrastructu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Existing%20Conditions%20Report\alt%20fuel%20vehicle%20stoc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background%20and%20reading\San%20Diego%20County%20Polk%20VIO_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background%20and%20reading\San%20Diego%20County%20Polk%20VIO_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essica.jinn\AppData\Local\Microsoft\Windows\Temporary%20Internet%20Files\Content.Outlook\6ZJFW1AD\Estimated%20EV%20Sales%20San%20Diego%20December%20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Existing%20Conditions%20Report\Clean%20Cities%20Annual%20Rpeorting_Alt%20Fuel%20Vehic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erver-main\shared\Transportation\Alt%20Fuel%20Readiness%20Plan\Existing%20Conditions\Existing%20Conditions%20Report\Clean%20Cities%20Annual%20Rpeorting_Alt%20Fuel%20Vehic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5921280215945"/>
          <c:y val="8.1602837792414909E-2"/>
          <c:w val="0.82399570799098354"/>
          <c:h val="0.59823777061424366"/>
        </c:manualLayout>
      </c:layout>
      <c:lineChart>
        <c:grouping val="standard"/>
        <c:varyColors val="0"/>
        <c:ser>
          <c:idx val="3"/>
          <c:order val="0"/>
          <c:tx>
            <c:strRef>
              <c:f>'Growth of Infrastructure'!$B$2</c:f>
              <c:strCache>
                <c:ptCount val="1"/>
                <c:pt idx="0">
                  <c:v>CNG</c:v>
                </c:pt>
              </c:strCache>
            </c:strRef>
          </c:tx>
          <c:cat>
            <c:numRef>
              <c:f>'Growth of Infrastructure'!$A$3:$A$26</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cat>
          <c:val>
            <c:numRef>
              <c:f>'Growth of Infrastructure'!$B$3:$B$26</c:f>
              <c:numCache>
                <c:formatCode>General</c:formatCode>
                <c:ptCount val="24"/>
                <c:pt idx="0">
                  <c:v>1</c:v>
                </c:pt>
                <c:pt idx="1">
                  <c:v>1</c:v>
                </c:pt>
                <c:pt idx="2">
                  <c:v>1</c:v>
                </c:pt>
                <c:pt idx="3">
                  <c:v>1</c:v>
                </c:pt>
                <c:pt idx="4">
                  <c:v>1</c:v>
                </c:pt>
                <c:pt idx="5">
                  <c:v>6</c:v>
                </c:pt>
                <c:pt idx="6">
                  <c:v>6</c:v>
                </c:pt>
                <c:pt idx="7">
                  <c:v>6</c:v>
                </c:pt>
                <c:pt idx="8">
                  <c:v>6</c:v>
                </c:pt>
                <c:pt idx="9">
                  <c:v>6</c:v>
                </c:pt>
                <c:pt idx="10">
                  <c:v>6</c:v>
                </c:pt>
                <c:pt idx="11">
                  <c:v>6</c:v>
                </c:pt>
                <c:pt idx="12">
                  <c:v>6</c:v>
                </c:pt>
                <c:pt idx="13">
                  <c:v>6</c:v>
                </c:pt>
                <c:pt idx="14">
                  <c:v>6</c:v>
                </c:pt>
                <c:pt idx="15">
                  <c:v>6</c:v>
                </c:pt>
                <c:pt idx="16">
                  <c:v>6</c:v>
                </c:pt>
                <c:pt idx="17">
                  <c:v>6</c:v>
                </c:pt>
                <c:pt idx="18">
                  <c:v>6</c:v>
                </c:pt>
                <c:pt idx="19">
                  <c:v>6</c:v>
                </c:pt>
                <c:pt idx="20">
                  <c:v>6</c:v>
                </c:pt>
                <c:pt idx="21">
                  <c:v>8</c:v>
                </c:pt>
                <c:pt idx="22">
                  <c:v>8</c:v>
                </c:pt>
                <c:pt idx="23">
                  <c:v>8</c:v>
                </c:pt>
              </c:numCache>
            </c:numRef>
          </c:val>
          <c:smooth val="0"/>
        </c:ser>
        <c:ser>
          <c:idx val="4"/>
          <c:order val="1"/>
          <c:tx>
            <c:strRef>
              <c:f>'Growth of Infrastructure'!$D$2</c:f>
              <c:strCache>
                <c:ptCount val="1"/>
                <c:pt idx="0">
                  <c:v>Ethanol (E85)</c:v>
                </c:pt>
              </c:strCache>
            </c:strRef>
          </c:tx>
          <c:cat>
            <c:numRef>
              <c:f>'Growth of Infrastructure'!$A$3:$A$26</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cat>
          <c:val>
            <c:numRef>
              <c:f>'Growth of Infrastructure'!$D$3:$D$26</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1</c:v>
                </c:pt>
                <c:pt idx="13">
                  <c:v>1</c:v>
                </c:pt>
                <c:pt idx="14">
                  <c:v>1</c:v>
                </c:pt>
                <c:pt idx="15">
                  <c:v>1</c:v>
                </c:pt>
                <c:pt idx="16">
                  <c:v>1</c:v>
                </c:pt>
                <c:pt idx="17">
                  <c:v>3</c:v>
                </c:pt>
                <c:pt idx="18">
                  <c:v>3</c:v>
                </c:pt>
                <c:pt idx="19">
                  <c:v>3</c:v>
                </c:pt>
                <c:pt idx="20">
                  <c:v>4</c:v>
                </c:pt>
                <c:pt idx="21">
                  <c:v>4</c:v>
                </c:pt>
                <c:pt idx="22">
                  <c:v>6</c:v>
                </c:pt>
                <c:pt idx="23">
                  <c:v>7</c:v>
                </c:pt>
              </c:numCache>
            </c:numRef>
          </c:val>
          <c:smooth val="0"/>
        </c:ser>
        <c:ser>
          <c:idx val="5"/>
          <c:order val="2"/>
          <c:tx>
            <c:strRef>
              <c:f>'Growth of Infrastructure'!$E$2</c:f>
              <c:strCache>
                <c:ptCount val="1"/>
                <c:pt idx="0">
                  <c:v>Biodiesel</c:v>
                </c:pt>
              </c:strCache>
            </c:strRef>
          </c:tx>
          <c:cat>
            <c:numRef>
              <c:f>'Growth of Infrastructure'!$A$3:$A$26</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cat>
          <c:val>
            <c:numRef>
              <c:f>'Growth of Infrastructure'!$E$3:$E$26</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1</c:v>
                </c:pt>
                <c:pt idx="13">
                  <c:v>1</c:v>
                </c:pt>
                <c:pt idx="14">
                  <c:v>1</c:v>
                </c:pt>
                <c:pt idx="15">
                  <c:v>1</c:v>
                </c:pt>
                <c:pt idx="16">
                  <c:v>1</c:v>
                </c:pt>
                <c:pt idx="17">
                  <c:v>1</c:v>
                </c:pt>
                <c:pt idx="18">
                  <c:v>1</c:v>
                </c:pt>
                <c:pt idx="19">
                  <c:v>1</c:v>
                </c:pt>
                <c:pt idx="20">
                  <c:v>2</c:v>
                </c:pt>
                <c:pt idx="21">
                  <c:v>2</c:v>
                </c:pt>
                <c:pt idx="22">
                  <c:v>3</c:v>
                </c:pt>
                <c:pt idx="23">
                  <c:v>3</c:v>
                </c:pt>
              </c:numCache>
            </c:numRef>
          </c:val>
          <c:smooth val="0"/>
        </c:ser>
        <c:ser>
          <c:idx val="0"/>
          <c:order val="3"/>
          <c:tx>
            <c:strRef>
              <c:f>'Growth of Infrastructure'!$G$2</c:f>
              <c:strCache>
                <c:ptCount val="1"/>
                <c:pt idx="0">
                  <c:v>LNG</c:v>
                </c:pt>
              </c:strCache>
            </c:strRef>
          </c:tx>
          <c:cat>
            <c:numRef>
              <c:f>'Growth of Infrastructure'!$A$3:$A$26</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cat>
          <c:val>
            <c:numRef>
              <c:f>'Growth of Infrastructure'!$G$3:$G$26</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c:v>
                </c:pt>
                <c:pt idx="22">
                  <c:v>1</c:v>
                </c:pt>
                <c:pt idx="23">
                  <c:v>1</c:v>
                </c:pt>
              </c:numCache>
            </c:numRef>
          </c:val>
          <c:smooth val="0"/>
        </c:ser>
        <c:ser>
          <c:idx val="2"/>
          <c:order val="4"/>
          <c:tx>
            <c:strRef>
              <c:f>'Growth of Infrastructure'!$H$2</c:f>
              <c:strCache>
                <c:ptCount val="1"/>
                <c:pt idx="0">
                  <c:v>Propane (LPG)</c:v>
                </c:pt>
              </c:strCache>
            </c:strRef>
          </c:tx>
          <c:cat>
            <c:numRef>
              <c:f>'Growth of Infrastructure'!$A$3:$A$26</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cat>
          <c:val>
            <c:numRef>
              <c:f>'Growth of Infrastructure'!$H$3:$H$26</c:f>
              <c:numCache>
                <c:formatCode>General</c:formatCode>
                <c:ptCount val="24"/>
                <c:pt idx="0">
                  <c:v>1</c:v>
                </c:pt>
                <c:pt idx="1">
                  <c:v>1</c:v>
                </c:pt>
                <c:pt idx="2">
                  <c:v>1</c:v>
                </c:pt>
                <c:pt idx="3">
                  <c:v>1</c:v>
                </c:pt>
                <c:pt idx="4">
                  <c:v>1</c:v>
                </c:pt>
                <c:pt idx="5">
                  <c:v>2</c:v>
                </c:pt>
                <c:pt idx="6">
                  <c:v>4</c:v>
                </c:pt>
                <c:pt idx="7">
                  <c:v>4</c:v>
                </c:pt>
                <c:pt idx="8">
                  <c:v>4</c:v>
                </c:pt>
                <c:pt idx="9">
                  <c:v>6</c:v>
                </c:pt>
                <c:pt idx="10">
                  <c:v>6</c:v>
                </c:pt>
                <c:pt idx="11">
                  <c:v>6</c:v>
                </c:pt>
                <c:pt idx="12">
                  <c:v>6</c:v>
                </c:pt>
                <c:pt idx="13">
                  <c:v>6</c:v>
                </c:pt>
                <c:pt idx="14">
                  <c:v>7</c:v>
                </c:pt>
                <c:pt idx="15">
                  <c:v>8</c:v>
                </c:pt>
                <c:pt idx="16">
                  <c:v>8</c:v>
                </c:pt>
                <c:pt idx="17">
                  <c:v>8</c:v>
                </c:pt>
                <c:pt idx="18">
                  <c:v>8</c:v>
                </c:pt>
                <c:pt idx="19">
                  <c:v>8</c:v>
                </c:pt>
                <c:pt idx="20">
                  <c:v>9</c:v>
                </c:pt>
                <c:pt idx="21">
                  <c:v>10</c:v>
                </c:pt>
                <c:pt idx="22">
                  <c:v>12</c:v>
                </c:pt>
                <c:pt idx="23">
                  <c:v>15</c:v>
                </c:pt>
              </c:numCache>
            </c:numRef>
          </c:val>
          <c:smooth val="0"/>
        </c:ser>
        <c:dLbls>
          <c:showLegendKey val="0"/>
          <c:showVal val="0"/>
          <c:showCatName val="0"/>
          <c:showSerName val="0"/>
          <c:showPercent val="0"/>
          <c:showBubbleSize val="0"/>
        </c:dLbls>
        <c:marker val="1"/>
        <c:smooth val="0"/>
        <c:axId val="86975232"/>
        <c:axId val="86977152"/>
      </c:lineChart>
      <c:catAx>
        <c:axId val="86975232"/>
        <c:scaling>
          <c:orientation val="minMax"/>
        </c:scaling>
        <c:delete val="0"/>
        <c:axPos val="b"/>
        <c:title>
          <c:tx>
            <c:rich>
              <a:bodyPr/>
              <a:lstStyle/>
              <a:p>
                <a:pPr>
                  <a:defRPr/>
                </a:pPr>
                <a:r>
                  <a:rPr lang="en-US"/>
                  <a:t>Year</a:t>
                </a:r>
              </a:p>
            </c:rich>
          </c:tx>
          <c:layout>
            <c:manualLayout>
              <c:xMode val="edge"/>
              <c:yMode val="edge"/>
              <c:x val="0.47709229432664646"/>
              <c:y val="0.79942081065370185"/>
            </c:manualLayout>
          </c:layout>
          <c:overlay val="0"/>
        </c:title>
        <c:numFmt formatCode="General" sourceLinked="1"/>
        <c:majorTickMark val="none"/>
        <c:minorTickMark val="none"/>
        <c:tickLblPos val="nextTo"/>
        <c:crossAx val="86977152"/>
        <c:crosses val="autoZero"/>
        <c:auto val="1"/>
        <c:lblAlgn val="ctr"/>
        <c:lblOffset val="100"/>
        <c:noMultiLvlLbl val="0"/>
      </c:catAx>
      <c:valAx>
        <c:axId val="86977152"/>
        <c:scaling>
          <c:orientation val="minMax"/>
        </c:scaling>
        <c:delete val="0"/>
        <c:axPos val="l"/>
        <c:majorGridlines/>
        <c:title>
          <c:tx>
            <c:rich>
              <a:bodyPr/>
              <a:lstStyle/>
              <a:p>
                <a:pPr>
                  <a:defRPr/>
                </a:pPr>
                <a:r>
                  <a:rPr lang="en-US"/>
                  <a:t>Number of Stations</a:t>
                </a:r>
              </a:p>
            </c:rich>
          </c:tx>
          <c:layout>
            <c:manualLayout>
              <c:xMode val="edge"/>
              <c:yMode val="edge"/>
              <c:x val="3.5360161135693596E-2"/>
              <c:y val="0.15489225972094087"/>
            </c:manualLayout>
          </c:layout>
          <c:overlay val="0"/>
        </c:title>
        <c:numFmt formatCode="General" sourceLinked="1"/>
        <c:majorTickMark val="none"/>
        <c:minorTickMark val="none"/>
        <c:tickLblPos val="nextTo"/>
        <c:crossAx val="86975232"/>
        <c:crosses val="autoZero"/>
        <c:crossBetween val="between"/>
      </c:valAx>
    </c:plotArea>
    <c:legend>
      <c:legendPos val="b"/>
      <c:layout>
        <c:manualLayout>
          <c:xMode val="edge"/>
          <c:yMode val="edge"/>
          <c:x val="0.11949314510073161"/>
          <c:y val="0.87567299054061198"/>
          <c:w val="0.79589779218774126"/>
          <c:h val="6.5696324744148132E-2"/>
        </c:manualLayout>
      </c:layout>
      <c:overlay val="0"/>
    </c:legend>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Number of Vouchers</c:v>
          </c:tx>
          <c:spPr>
            <a:solidFill>
              <a:srgbClr val="002060"/>
            </a:solidFill>
          </c:spPr>
          <c:invertIfNegative val="0"/>
          <c:cat>
            <c:numRef>
              <c:f>Sheet2!$B$5:$B$9</c:f>
              <c:numCache>
                <c:formatCode>General</c:formatCode>
                <c:ptCount val="5"/>
                <c:pt idx="0">
                  <c:v>2010</c:v>
                </c:pt>
                <c:pt idx="1">
                  <c:v>2011</c:v>
                </c:pt>
                <c:pt idx="2">
                  <c:v>2012</c:v>
                </c:pt>
                <c:pt idx="3">
                  <c:v>2013</c:v>
                </c:pt>
                <c:pt idx="4">
                  <c:v>2014</c:v>
                </c:pt>
              </c:numCache>
            </c:numRef>
          </c:cat>
          <c:val>
            <c:numRef>
              <c:f>Sheet2!$C$5:$C$9</c:f>
              <c:numCache>
                <c:formatCode>General</c:formatCode>
                <c:ptCount val="5"/>
                <c:pt idx="0">
                  <c:v>12</c:v>
                </c:pt>
                <c:pt idx="1">
                  <c:v>35</c:v>
                </c:pt>
                <c:pt idx="2">
                  <c:v>6</c:v>
                </c:pt>
                <c:pt idx="3">
                  <c:v>67</c:v>
                </c:pt>
                <c:pt idx="4">
                  <c:v>36</c:v>
                </c:pt>
              </c:numCache>
            </c:numRef>
          </c:val>
        </c:ser>
        <c:dLbls>
          <c:showLegendKey val="0"/>
          <c:showVal val="0"/>
          <c:showCatName val="0"/>
          <c:showSerName val="0"/>
          <c:showPercent val="0"/>
          <c:showBubbleSize val="0"/>
        </c:dLbls>
        <c:gapWidth val="47"/>
        <c:axId val="34183424"/>
        <c:axId val="34185216"/>
      </c:barChart>
      <c:catAx>
        <c:axId val="34183424"/>
        <c:scaling>
          <c:orientation val="minMax"/>
        </c:scaling>
        <c:delete val="0"/>
        <c:axPos val="b"/>
        <c:numFmt formatCode="General" sourceLinked="1"/>
        <c:majorTickMark val="out"/>
        <c:minorTickMark val="none"/>
        <c:tickLblPos val="nextTo"/>
        <c:crossAx val="34185216"/>
        <c:crosses val="autoZero"/>
        <c:auto val="1"/>
        <c:lblAlgn val="ctr"/>
        <c:lblOffset val="100"/>
        <c:noMultiLvlLbl val="0"/>
      </c:catAx>
      <c:valAx>
        <c:axId val="34185216"/>
        <c:scaling>
          <c:orientation val="minMax"/>
        </c:scaling>
        <c:delete val="0"/>
        <c:axPos val="l"/>
        <c:majorGridlines/>
        <c:title>
          <c:tx>
            <c:rich>
              <a:bodyPr rot="-5400000" vert="horz"/>
              <a:lstStyle/>
              <a:p>
                <a:pPr>
                  <a:defRPr/>
                </a:pPr>
                <a:r>
                  <a:rPr lang="en-US"/>
                  <a:t>Number of Vouchers</a:t>
                </a:r>
              </a:p>
            </c:rich>
          </c:tx>
          <c:layout/>
          <c:overlay val="0"/>
        </c:title>
        <c:numFmt formatCode="General" sourceLinked="1"/>
        <c:majorTickMark val="out"/>
        <c:minorTickMark val="none"/>
        <c:tickLblPos val="nextTo"/>
        <c:crossAx val="34183424"/>
        <c:crosses val="autoZero"/>
        <c:crossBetween val="between"/>
      </c:valAx>
    </c:plotArea>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numRef>
              <c:f>[CVRPStats_Jan.xlsx]Sheet1!$P$9:$P$66</c:f>
              <c:numCache>
                <c:formatCode>mmm\-yy</c:formatCode>
                <c:ptCount val="58"/>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numCache>
            </c:numRef>
          </c:cat>
          <c:val>
            <c:numRef>
              <c:f>[CVRPStats_Jan.xlsx]Sheet1!$Q$9:$Q$66</c:f>
              <c:numCache>
                <c:formatCode>_("$"* #,##0_);_("$"* \(#,##0\);_("$"* "-"??_);_(@_)</c:formatCode>
                <c:ptCount val="58"/>
                <c:pt idx="0">
                  <c:v>5000</c:v>
                </c:pt>
                <c:pt idx="1">
                  <c:v>8000</c:v>
                </c:pt>
                <c:pt idx="2">
                  <c:v>6500</c:v>
                </c:pt>
                <c:pt idx="3">
                  <c:v>0</c:v>
                </c:pt>
                <c:pt idx="4">
                  <c:v>1500</c:v>
                </c:pt>
                <c:pt idx="5">
                  <c:v>6500</c:v>
                </c:pt>
                <c:pt idx="6">
                  <c:v>5000</c:v>
                </c:pt>
                <c:pt idx="7">
                  <c:v>0</c:v>
                </c:pt>
                <c:pt idx="8">
                  <c:v>5000</c:v>
                </c:pt>
                <c:pt idx="9">
                  <c:v>80000</c:v>
                </c:pt>
                <c:pt idx="10">
                  <c:v>5000</c:v>
                </c:pt>
                <c:pt idx="11">
                  <c:v>145000</c:v>
                </c:pt>
                <c:pt idx="12">
                  <c:v>272472</c:v>
                </c:pt>
                <c:pt idx="13">
                  <c:v>708056</c:v>
                </c:pt>
                <c:pt idx="14">
                  <c:v>833400</c:v>
                </c:pt>
                <c:pt idx="15">
                  <c:v>122500</c:v>
                </c:pt>
                <c:pt idx="16">
                  <c:v>170900</c:v>
                </c:pt>
                <c:pt idx="17">
                  <c:v>95342</c:v>
                </c:pt>
                <c:pt idx="18">
                  <c:v>87500</c:v>
                </c:pt>
                <c:pt idx="19">
                  <c:v>650900</c:v>
                </c:pt>
                <c:pt idx="20">
                  <c:v>55000</c:v>
                </c:pt>
                <c:pt idx="21">
                  <c:v>45000</c:v>
                </c:pt>
                <c:pt idx="22">
                  <c:v>47000</c:v>
                </c:pt>
                <c:pt idx="23">
                  <c:v>73000</c:v>
                </c:pt>
                <c:pt idx="24">
                  <c:v>104900</c:v>
                </c:pt>
                <c:pt idx="25">
                  <c:v>93918</c:v>
                </c:pt>
                <c:pt idx="26">
                  <c:v>77000</c:v>
                </c:pt>
                <c:pt idx="27">
                  <c:v>85000</c:v>
                </c:pt>
                <c:pt idx="28">
                  <c:v>106056</c:v>
                </c:pt>
                <c:pt idx="29">
                  <c:v>177600</c:v>
                </c:pt>
                <c:pt idx="30">
                  <c:v>238500</c:v>
                </c:pt>
                <c:pt idx="31">
                  <c:v>273817</c:v>
                </c:pt>
                <c:pt idx="32">
                  <c:v>247500</c:v>
                </c:pt>
                <c:pt idx="33">
                  <c:v>192261</c:v>
                </c:pt>
                <c:pt idx="34">
                  <c:v>167500</c:v>
                </c:pt>
                <c:pt idx="35">
                  <c:v>447050</c:v>
                </c:pt>
                <c:pt idx="36">
                  <c:v>300400</c:v>
                </c:pt>
                <c:pt idx="37">
                  <c:v>427000</c:v>
                </c:pt>
                <c:pt idx="38">
                  <c:v>379000</c:v>
                </c:pt>
                <c:pt idx="39">
                  <c:v>464100</c:v>
                </c:pt>
                <c:pt idx="40">
                  <c:v>411900</c:v>
                </c:pt>
                <c:pt idx="41">
                  <c:v>494338.89</c:v>
                </c:pt>
                <c:pt idx="42">
                  <c:v>585500</c:v>
                </c:pt>
                <c:pt idx="43">
                  <c:v>469425</c:v>
                </c:pt>
                <c:pt idx="44">
                  <c:v>577647</c:v>
                </c:pt>
                <c:pt idx="45">
                  <c:v>469000</c:v>
                </c:pt>
                <c:pt idx="46">
                  <c:v>392300</c:v>
                </c:pt>
                <c:pt idx="47">
                  <c:v>745500</c:v>
                </c:pt>
                <c:pt idx="48">
                  <c:v>618800</c:v>
                </c:pt>
                <c:pt idx="49">
                  <c:v>596900</c:v>
                </c:pt>
                <c:pt idx="50">
                  <c:v>643500</c:v>
                </c:pt>
                <c:pt idx="51">
                  <c:v>623400</c:v>
                </c:pt>
                <c:pt idx="52">
                  <c:v>553200</c:v>
                </c:pt>
                <c:pt idx="53">
                  <c:v>660900</c:v>
                </c:pt>
                <c:pt idx="54">
                  <c:v>550900</c:v>
                </c:pt>
                <c:pt idx="55">
                  <c:v>469400</c:v>
                </c:pt>
                <c:pt idx="56">
                  <c:v>659900</c:v>
                </c:pt>
                <c:pt idx="57">
                  <c:v>280400</c:v>
                </c:pt>
              </c:numCache>
            </c:numRef>
          </c:val>
        </c:ser>
        <c:dLbls>
          <c:showLegendKey val="0"/>
          <c:showVal val="0"/>
          <c:showCatName val="0"/>
          <c:showSerName val="0"/>
          <c:showPercent val="0"/>
          <c:showBubbleSize val="0"/>
        </c:dLbls>
        <c:gapWidth val="150"/>
        <c:axId val="34484608"/>
        <c:axId val="34486528"/>
      </c:barChart>
      <c:dateAx>
        <c:axId val="34484608"/>
        <c:scaling>
          <c:orientation val="minMax"/>
        </c:scaling>
        <c:delete val="0"/>
        <c:axPos val="b"/>
        <c:title>
          <c:tx>
            <c:rich>
              <a:bodyPr/>
              <a:lstStyle/>
              <a:p>
                <a:pPr>
                  <a:defRPr/>
                </a:pPr>
                <a:r>
                  <a:rPr lang="en-US"/>
                  <a:t>Months </a:t>
                </a:r>
              </a:p>
            </c:rich>
          </c:tx>
          <c:layout/>
          <c:overlay val="0"/>
        </c:title>
        <c:numFmt formatCode="mmm\-yy" sourceLinked="1"/>
        <c:majorTickMark val="out"/>
        <c:minorTickMark val="none"/>
        <c:tickLblPos val="nextTo"/>
        <c:crossAx val="34486528"/>
        <c:crosses val="autoZero"/>
        <c:auto val="1"/>
        <c:lblOffset val="100"/>
        <c:baseTimeUnit val="months"/>
      </c:dateAx>
      <c:valAx>
        <c:axId val="34486528"/>
        <c:scaling>
          <c:orientation val="minMax"/>
        </c:scaling>
        <c:delete val="0"/>
        <c:axPos val="l"/>
        <c:majorGridlines/>
        <c:title>
          <c:tx>
            <c:rich>
              <a:bodyPr rot="-5400000" vert="horz"/>
              <a:lstStyle/>
              <a:p>
                <a:pPr>
                  <a:defRPr/>
                </a:pPr>
                <a:r>
                  <a:rPr lang="en-US"/>
                  <a:t>Rebate Dollars</a:t>
                </a:r>
              </a:p>
            </c:rich>
          </c:tx>
          <c:layout/>
          <c:overlay val="0"/>
        </c:title>
        <c:numFmt formatCode="_(&quot;$&quot;* #,##0_);_(&quot;$&quot;* \(#,##0\);_(&quot;$&quot;* &quot;-&quot;??_);_(@_)" sourceLinked="1"/>
        <c:majorTickMark val="out"/>
        <c:minorTickMark val="none"/>
        <c:tickLblPos val="nextTo"/>
        <c:crossAx val="34484608"/>
        <c:crosses val="autoZero"/>
        <c:crossBetween val="between"/>
      </c:valAx>
    </c:plotArea>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'Growth of Infrastructure'!$C$2</c:f>
              <c:strCache>
                <c:ptCount val="1"/>
                <c:pt idx="0">
                  <c:v>Electric</c:v>
                </c:pt>
              </c:strCache>
            </c:strRef>
          </c:tx>
          <c:marker>
            <c:symbol val="none"/>
          </c:marker>
          <c:cat>
            <c:numRef>
              <c:f>'Growth of Infrastructure'!$A$3:$A$26</c:f>
              <c:numCache>
                <c:formatCode>General</c:formatCode>
                <c:ptCount val="24"/>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numCache>
            </c:numRef>
          </c:cat>
          <c:val>
            <c:numRef>
              <c:f>'Growth of Infrastructure'!$C$3:$C$26</c:f>
              <c:numCache>
                <c:formatCode>General</c:formatCode>
                <c:ptCount val="24"/>
                <c:pt idx="0">
                  <c:v>0</c:v>
                </c:pt>
                <c:pt idx="1">
                  <c:v>0</c:v>
                </c:pt>
                <c:pt idx="2">
                  <c:v>0</c:v>
                </c:pt>
                <c:pt idx="3">
                  <c:v>0</c:v>
                </c:pt>
                <c:pt idx="4">
                  <c:v>0</c:v>
                </c:pt>
                <c:pt idx="5">
                  <c:v>0</c:v>
                </c:pt>
                <c:pt idx="6">
                  <c:v>1</c:v>
                </c:pt>
                <c:pt idx="7">
                  <c:v>3</c:v>
                </c:pt>
                <c:pt idx="8">
                  <c:v>3</c:v>
                </c:pt>
                <c:pt idx="9">
                  <c:v>3</c:v>
                </c:pt>
                <c:pt idx="10">
                  <c:v>3</c:v>
                </c:pt>
                <c:pt idx="11">
                  <c:v>3</c:v>
                </c:pt>
                <c:pt idx="12">
                  <c:v>3</c:v>
                </c:pt>
                <c:pt idx="13">
                  <c:v>3</c:v>
                </c:pt>
                <c:pt idx="14">
                  <c:v>3</c:v>
                </c:pt>
                <c:pt idx="15">
                  <c:v>3</c:v>
                </c:pt>
                <c:pt idx="16">
                  <c:v>3</c:v>
                </c:pt>
                <c:pt idx="17">
                  <c:v>3</c:v>
                </c:pt>
                <c:pt idx="18">
                  <c:v>3</c:v>
                </c:pt>
                <c:pt idx="19">
                  <c:v>3</c:v>
                </c:pt>
                <c:pt idx="20">
                  <c:v>17</c:v>
                </c:pt>
                <c:pt idx="21">
                  <c:v>78</c:v>
                </c:pt>
                <c:pt idx="22">
                  <c:v>145</c:v>
                </c:pt>
                <c:pt idx="23">
                  <c:v>483</c:v>
                </c:pt>
              </c:numCache>
            </c:numRef>
          </c:val>
          <c:smooth val="0"/>
        </c:ser>
        <c:dLbls>
          <c:showLegendKey val="0"/>
          <c:showVal val="0"/>
          <c:showCatName val="0"/>
          <c:showSerName val="0"/>
          <c:showPercent val="0"/>
          <c:showBubbleSize val="0"/>
        </c:dLbls>
        <c:marker val="1"/>
        <c:smooth val="0"/>
        <c:axId val="87007232"/>
        <c:axId val="87009152"/>
      </c:lineChart>
      <c:catAx>
        <c:axId val="87007232"/>
        <c:scaling>
          <c:orientation val="minMax"/>
        </c:scaling>
        <c:delete val="0"/>
        <c:axPos val="b"/>
        <c:title>
          <c:tx>
            <c:rich>
              <a:bodyPr/>
              <a:lstStyle/>
              <a:p>
                <a:pPr>
                  <a:defRPr/>
                </a:pPr>
                <a:r>
                  <a:rPr lang="en-US"/>
                  <a:t>Year</a:t>
                </a:r>
              </a:p>
            </c:rich>
          </c:tx>
          <c:layout>
            <c:manualLayout>
              <c:xMode val="edge"/>
              <c:yMode val="edge"/>
              <c:x val="0.45171623218210327"/>
              <c:y val="0.90805335017283051"/>
            </c:manualLayout>
          </c:layout>
          <c:overlay val="0"/>
        </c:title>
        <c:numFmt formatCode="General" sourceLinked="1"/>
        <c:majorTickMark val="out"/>
        <c:minorTickMark val="none"/>
        <c:tickLblPos val="nextTo"/>
        <c:txPr>
          <a:bodyPr rot="-5400000" vert="horz"/>
          <a:lstStyle/>
          <a:p>
            <a:pPr>
              <a:defRPr/>
            </a:pPr>
            <a:endParaRPr lang="en-US"/>
          </a:p>
        </c:txPr>
        <c:crossAx val="87009152"/>
        <c:crosses val="autoZero"/>
        <c:auto val="1"/>
        <c:lblAlgn val="ctr"/>
        <c:lblOffset val="100"/>
        <c:noMultiLvlLbl val="0"/>
      </c:catAx>
      <c:valAx>
        <c:axId val="87009152"/>
        <c:scaling>
          <c:orientation val="minMax"/>
        </c:scaling>
        <c:delete val="0"/>
        <c:axPos val="l"/>
        <c:majorGridlines/>
        <c:title>
          <c:tx>
            <c:rich>
              <a:bodyPr rot="-5400000" vert="horz"/>
              <a:lstStyle/>
              <a:p>
                <a:pPr>
                  <a:defRPr/>
                </a:pPr>
                <a:r>
                  <a:rPr lang="en-US"/>
                  <a:t>Number of Stations</a:t>
                </a:r>
              </a:p>
            </c:rich>
          </c:tx>
          <c:layout>
            <c:manualLayout>
              <c:xMode val="edge"/>
              <c:yMode val="edge"/>
              <c:x val="1.562064018971083E-2"/>
              <c:y val="0.36314190573147137"/>
            </c:manualLayout>
          </c:layout>
          <c:overlay val="0"/>
        </c:title>
        <c:numFmt formatCode="General" sourceLinked="1"/>
        <c:majorTickMark val="out"/>
        <c:minorTickMark val="none"/>
        <c:tickLblPos val="nextTo"/>
        <c:crossAx val="87007232"/>
        <c:crosses val="autoZero"/>
        <c:crossBetween val="between"/>
      </c:valAx>
    </c:plotArea>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77117353381618"/>
          <c:y val="5.3460504169165597E-2"/>
          <c:w val="0.79014672253342777"/>
          <c:h val="0.66394036093738007"/>
        </c:manualLayout>
      </c:layout>
      <c:lineChart>
        <c:grouping val="standard"/>
        <c:varyColors val="0"/>
        <c:ser>
          <c:idx val="2"/>
          <c:order val="0"/>
          <c:tx>
            <c:strRef>
              <c:f>Sheet1!$D$2</c:f>
              <c:strCache>
                <c:ptCount val="1"/>
                <c:pt idx="0">
                  <c:v>Diesel</c:v>
                </c:pt>
              </c:strCache>
            </c:strRef>
          </c:tx>
          <c:cat>
            <c:numRef>
              <c:f>Sheet1!$A$3:$A$15</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Sheet1!$D$3:$D$15</c:f>
              <c:numCache>
                <c:formatCode>#,##0</c:formatCode>
                <c:ptCount val="13"/>
                <c:pt idx="0">
                  <c:v>301977</c:v>
                </c:pt>
                <c:pt idx="1">
                  <c:v>316872</c:v>
                </c:pt>
                <c:pt idx="2">
                  <c:v>334313</c:v>
                </c:pt>
                <c:pt idx="3">
                  <c:v>364411</c:v>
                </c:pt>
                <c:pt idx="4">
                  <c:v>391950</c:v>
                </c:pt>
                <c:pt idx="5">
                  <c:v>424137</c:v>
                </c:pt>
                <c:pt idx="6">
                  <c:v>449305</c:v>
                </c:pt>
                <c:pt idx="7">
                  <c:v>465654</c:v>
                </c:pt>
                <c:pt idx="8">
                  <c:v>463631</c:v>
                </c:pt>
                <c:pt idx="9">
                  <c:v>462936</c:v>
                </c:pt>
                <c:pt idx="10">
                  <c:v>464187</c:v>
                </c:pt>
                <c:pt idx="11">
                  <c:v>471585</c:v>
                </c:pt>
                <c:pt idx="12">
                  <c:v>489666</c:v>
                </c:pt>
              </c:numCache>
            </c:numRef>
          </c:val>
          <c:smooth val="0"/>
        </c:ser>
        <c:ser>
          <c:idx val="3"/>
          <c:order val="1"/>
          <c:tx>
            <c:strRef>
              <c:f>Sheet1!$E$2</c:f>
              <c:strCache>
                <c:ptCount val="1"/>
                <c:pt idx="0">
                  <c:v>E85 Flex Fuel</c:v>
                </c:pt>
              </c:strCache>
            </c:strRef>
          </c:tx>
          <c:cat>
            <c:numRef>
              <c:f>Sheet1!$A$3:$A$15</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Sheet1!$E$3:$E$15</c:f>
              <c:numCache>
                <c:formatCode>#,##0</c:formatCode>
                <c:ptCount val="13"/>
                <c:pt idx="0">
                  <c:v>65507</c:v>
                </c:pt>
                <c:pt idx="1">
                  <c:v>97611</c:v>
                </c:pt>
                <c:pt idx="2">
                  <c:v>129860</c:v>
                </c:pt>
                <c:pt idx="3">
                  <c:v>183546</c:v>
                </c:pt>
                <c:pt idx="4">
                  <c:v>195752</c:v>
                </c:pt>
                <c:pt idx="5">
                  <c:v>269857</c:v>
                </c:pt>
                <c:pt idx="6">
                  <c:v>305725</c:v>
                </c:pt>
                <c:pt idx="7">
                  <c:v>345125</c:v>
                </c:pt>
                <c:pt idx="8">
                  <c:v>385213</c:v>
                </c:pt>
                <c:pt idx="9">
                  <c:v>409636</c:v>
                </c:pt>
                <c:pt idx="10">
                  <c:v>466672</c:v>
                </c:pt>
                <c:pt idx="11">
                  <c:v>574369</c:v>
                </c:pt>
                <c:pt idx="12">
                  <c:v>776224</c:v>
                </c:pt>
              </c:numCache>
            </c:numRef>
          </c:val>
          <c:smooth val="0"/>
        </c:ser>
        <c:ser>
          <c:idx val="4"/>
          <c:order val="2"/>
          <c:tx>
            <c:strRef>
              <c:f>Sheet1!$F$2</c:f>
              <c:strCache>
                <c:ptCount val="1"/>
                <c:pt idx="0">
                  <c:v>CNG</c:v>
                </c:pt>
              </c:strCache>
            </c:strRef>
          </c:tx>
          <c:cat>
            <c:numRef>
              <c:f>Sheet1!$A$3:$A$15</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Sheet1!$F$3:$F$15</c:f>
              <c:numCache>
                <c:formatCode>#,##0</c:formatCode>
                <c:ptCount val="13"/>
                <c:pt idx="0">
                  <c:v>6384</c:v>
                </c:pt>
                <c:pt idx="1">
                  <c:v>12544</c:v>
                </c:pt>
                <c:pt idx="2">
                  <c:v>20996</c:v>
                </c:pt>
                <c:pt idx="3">
                  <c:v>20541</c:v>
                </c:pt>
                <c:pt idx="4">
                  <c:v>21269</c:v>
                </c:pt>
                <c:pt idx="5">
                  <c:v>24471</c:v>
                </c:pt>
                <c:pt idx="6">
                  <c:v>24919</c:v>
                </c:pt>
                <c:pt idx="7">
                  <c:v>25196</c:v>
                </c:pt>
                <c:pt idx="8">
                  <c:v>24810</c:v>
                </c:pt>
                <c:pt idx="9">
                  <c:v>24819</c:v>
                </c:pt>
                <c:pt idx="10">
                  <c:v>24828</c:v>
                </c:pt>
                <c:pt idx="11">
                  <c:v>24063</c:v>
                </c:pt>
                <c:pt idx="12">
                  <c:v>19673</c:v>
                </c:pt>
              </c:numCache>
            </c:numRef>
          </c:val>
          <c:smooth val="0"/>
        </c:ser>
        <c:ser>
          <c:idx val="5"/>
          <c:order val="3"/>
          <c:tx>
            <c:strRef>
              <c:f>Sheet1!$G$2</c:f>
              <c:strCache>
                <c:ptCount val="1"/>
                <c:pt idx="0">
                  <c:v>Propane</c:v>
                </c:pt>
              </c:strCache>
            </c:strRef>
          </c:tx>
          <c:cat>
            <c:numRef>
              <c:f>Sheet1!$A$3:$A$15</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Sheet1!$G$3:$G$15</c:f>
              <c:numCache>
                <c:formatCode>#,##0</c:formatCode>
                <c:ptCount val="13"/>
                <c:pt idx="0">
                  <c:v>5180</c:v>
                </c:pt>
                <c:pt idx="1">
                  <c:v>3629</c:v>
                </c:pt>
                <c:pt idx="2">
                  <c:v>2634</c:v>
                </c:pt>
                <c:pt idx="3" formatCode="General">
                  <c:v>979</c:v>
                </c:pt>
                <c:pt idx="4" formatCode="General">
                  <c:v>826</c:v>
                </c:pt>
                <c:pt idx="5">
                  <c:v>3413</c:v>
                </c:pt>
                <c:pt idx="6">
                  <c:v>3104</c:v>
                </c:pt>
                <c:pt idx="7">
                  <c:v>2828</c:v>
                </c:pt>
                <c:pt idx="8">
                  <c:v>2637</c:v>
                </c:pt>
                <c:pt idx="9">
                  <c:v>2398</c:v>
                </c:pt>
                <c:pt idx="10">
                  <c:v>2314</c:v>
                </c:pt>
                <c:pt idx="11">
                  <c:v>1022</c:v>
                </c:pt>
                <c:pt idx="12" formatCode="General">
                  <c:v>179</c:v>
                </c:pt>
              </c:numCache>
            </c:numRef>
          </c:val>
          <c:smooth val="0"/>
        </c:ser>
        <c:ser>
          <c:idx val="8"/>
          <c:order val="4"/>
          <c:tx>
            <c:strRef>
              <c:f>Sheet1!$K$2</c:f>
              <c:strCache>
                <c:ptCount val="1"/>
                <c:pt idx="0">
                  <c:v>Hybrids</c:v>
                </c:pt>
              </c:strCache>
            </c:strRef>
          </c:tx>
          <c:cat>
            <c:numRef>
              <c:f>Sheet1!$A$3:$A$15</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Sheet1!$K$3:$K$15</c:f>
              <c:numCache>
                <c:formatCode>General</c:formatCode>
                <c:ptCount val="13"/>
                <c:pt idx="0">
                  <c:v>121</c:v>
                </c:pt>
                <c:pt idx="1">
                  <c:v>6609</c:v>
                </c:pt>
                <c:pt idx="2" formatCode="#,##0">
                  <c:v>15159</c:v>
                </c:pt>
                <c:pt idx="3" formatCode="#,##0">
                  <c:v>24182</c:v>
                </c:pt>
                <c:pt idx="4" formatCode="#,##0">
                  <c:v>45263</c:v>
                </c:pt>
                <c:pt idx="5" formatCode="#,##0">
                  <c:v>91438</c:v>
                </c:pt>
                <c:pt idx="6" formatCode="#,##0">
                  <c:v>154165</c:v>
                </c:pt>
                <c:pt idx="7" formatCode="#,##0">
                  <c:v>243729</c:v>
                </c:pt>
                <c:pt idx="8" formatCode="#,##0">
                  <c:v>333020</c:v>
                </c:pt>
                <c:pt idx="9" formatCode="#,##0">
                  <c:v>384567</c:v>
                </c:pt>
                <c:pt idx="10" formatCode="#,##0">
                  <c:v>442138</c:v>
                </c:pt>
                <c:pt idx="11" formatCode="#,##0">
                  <c:v>496540</c:v>
                </c:pt>
                <c:pt idx="12" formatCode="#,##0">
                  <c:v>579460</c:v>
                </c:pt>
              </c:numCache>
            </c:numRef>
          </c:val>
          <c:smooth val="0"/>
        </c:ser>
        <c:ser>
          <c:idx val="10"/>
          <c:order val="5"/>
          <c:tx>
            <c:strRef>
              <c:f>Sheet1!$M$2</c:f>
              <c:strCache>
                <c:ptCount val="1"/>
                <c:pt idx="0">
                  <c:v>Hydrogen Fuel Cell</c:v>
                </c:pt>
              </c:strCache>
            </c:strRef>
          </c:tx>
          <c:cat>
            <c:numRef>
              <c:f>Sheet1!$A$3:$A$15</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Sheet1!$M$3:$M$15</c:f>
              <c:numCache>
                <c:formatCode>General</c:formatCode>
                <c:ptCount val="13"/>
                <c:pt idx="6">
                  <c:v>0</c:v>
                </c:pt>
                <c:pt idx="7">
                  <c:v>15</c:v>
                </c:pt>
                <c:pt idx="8">
                  <c:v>10</c:v>
                </c:pt>
                <c:pt idx="9">
                  <c:v>9</c:v>
                </c:pt>
                <c:pt idx="10">
                  <c:v>36</c:v>
                </c:pt>
                <c:pt idx="11">
                  <c:v>95</c:v>
                </c:pt>
                <c:pt idx="12">
                  <c:v>162</c:v>
                </c:pt>
              </c:numCache>
            </c:numRef>
          </c:val>
          <c:smooth val="0"/>
        </c:ser>
        <c:ser>
          <c:idx val="0"/>
          <c:order val="6"/>
          <c:tx>
            <c:v>PEVs (all types)</c:v>
          </c:tx>
          <c:val>
            <c:numRef>
              <c:f>Sheet1!$H$3:$H$15</c:f>
              <c:numCache>
                <c:formatCode>#,##0</c:formatCode>
                <c:ptCount val="13"/>
                <c:pt idx="0">
                  <c:v>2726</c:v>
                </c:pt>
                <c:pt idx="1">
                  <c:v>2905</c:v>
                </c:pt>
                <c:pt idx="2">
                  <c:v>11963</c:v>
                </c:pt>
                <c:pt idx="3">
                  <c:v>15463</c:v>
                </c:pt>
                <c:pt idx="4">
                  <c:v>14425</c:v>
                </c:pt>
                <c:pt idx="5">
                  <c:v>13947</c:v>
                </c:pt>
                <c:pt idx="6">
                  <c:v>14071</c:v>
                </c:pt>
                <c:pt idx="7">
                  <c:v>13956</c:v>
                </c:pt>
                <c:pt idx="8">
                  <c:v>14670</c:v>
                </c:pt>
                <c:pt idx="9">
                  <c:v>15031</c:v>
                </c:pt>
                <c:pt idx="10">
                  <c:v>15877</c:v>
                </c:pt>
                <c:pt idx="11">
                  <c:v>20388</c:v>
                </c:pt>
                <c:pt idx="12">
                  <c:v>33447</c:v>
                </c:pt>
              </c:numCache>
            </c:numRef>
          </c:val>
          <c:smooth val="0"/>
        </c:ser>
        <c:dLbls>
          <c:showLegendKey val="0"/>
          <c:showVal val="0"/>
          <c:showCatName val="0"/>
          <c:showSerName val="0"/>
          <c:showPercent val="0"/>
          <c:showBubbleSize val="0"/>
        </c:dLbls>
        <c:marker val="1"/>
        <c:smooth val="0"/>
        <c:axId val="33659904"/>
        <c:axId val="33678464"/>
      </c:lineChart>
      <c:catAx>
        <c:axId val="33659904"/>
        <c:scaling>
          <c:orientation val="minMax"/>
        </c:scaling>
        <c:delete val="0"/>
        <c:axPos val="b"/>
        <c:title>
          <c:tx>
            <c:rich>
              <a:bodyPr/>
              <a:lstStyle/>
              <a:p>
                <a:pPr>
                  <a:defRPr/>
                </a:pPr>
                <a:r>
                  <a:rPr lang="en-US"/>
                  <a:t>Year</a:t>
                </a:r>
              </a:p>
            </c:rich>
          </c:tx>
          <c:layout>
            <c:manualLayout>
              <c:xMode val="edge"/>
              <c:yMode val="edge"/>
              <c:x val="0.50020485373239421"/>
              <c:y val="0.78254901013591271"/>
            </c:manualLayout>
          </c:layout>
          <c:overlay val="0"/>
        </c:title>
        <c:numFmt formatCode="General" sourceLinked="1"/>
        <c:majorTickMark val="cross"/>
        <c:minorTickMark val="none"/>
        <c:tickLblPos val="nextTo"/>
        <c:crossAx val="33678464"/>
        <c:crosses val="autoZero"/>
        <c:auto val="1"/>
        <c:lblAlgn val="ctr"/>
        <c:lblOffset val="100"/>
        <c:noMultiLvlLbl val="0"/>
      </c:catAx>
      <c:valAx>
        <c:axId val="33678464"/>
        <c:scaling>
          <c:orientation val="minMax"/>
        </c:scaling>
        <c:delete val="0"/>
        <c:axPos val="l"/>
        <c:majorGridlines/>
        <c:title>
          <c:tx>
            <c:rich>
              <a:bodyPr rot="-5400000" vert="horz"/>
              <a:lstStyle/>
              <a:p>
                <a:pPr>
                  <a:defRPr/>
                </a:pPr>
                <a:r>
                  <a:rPr lang="en-US"/>
                  <a:t>Number of Vehicles</a:t>
                </a:r>
              </a:p>
            </c:rich>
          </c:tx>
          <c:layout/>
          <c:overlay val="0"/>
        </c:title>
        <c:numFmt formatCode="#,##0" sourceLinked="1"/>
        <c:majorTickMark val="out"/>
        <c:minorTickMark val="none"/>
        <c:tickLblPos val="nextTo"/>
        <c:crossAx val="33659904"/>
        <c:crosses val="autoZero"/>
        <c:crossBetween val="between"/>
      </c:valAx>
    </c:plotArea>
    <c:legend>
      <c:legendPos val="b"/>
      <c:layout>
        <c:manualLayout>
          <c:xMode val="edge"/>
          <c:yMode val="edge"/>
          <c:x val="8.9020344538151011E-2"/>
          <c:y val="0.84325366492667309"/>
          <c:w val="0.84725241357508596"/>
          <c:h val="0.10504795991410165"/>
        </c:manualLayout>
      </c:layout>
      <c:overlay val="0"/>
    </c:legend>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959029557077"/>
          <c:y val="0.101885799451032"/>
          <c:w val="0.68439733494851607"/>
          <c:h val="0.76239535157938865"/>
        </c:manualLayout>
      </c:layout>
      <c:lineChart>
        <c:grouping val="standard"/>
        <c:varyColors val="0"/>
        <c:ser>
          <c:idx val="0"/>
          <c:order val="0"/>
          <c:tx>
            <c:strRef>
              <c:f>Sheet1!$A$5</c:f>
              <c:strCache>
                <c:ptCount val="1"/>
                <c:pt idx="0">
                  <c:v>CNG</c:v>
                </c:pt>
              </c:strCache>
            </c:strRef>
          </c:tx>
          <c:cat>
            <c:strRef>
              <c:f>Sheet1!$B$4:$F$4</c:f>
              <c:strCache>
                <c:ptCount val="5"/>
                <c:pt idx="0">
                  <c:v>2010</c:v>
                </c:pt>
                <c:pt idx="1">
                  <c:v>2011</c:v>
                </c:pt>
                <c:pt idx="2">
                  <c:v>2012</c:v>
                </c:pt>
                <c:pt idx="3">
                  <c:v>2013</c:v>
                </c:pt>
                <c:pt idx="4">
                  <c:v>2014</c:v>
                </c:pt>
              </c:strCache>
            </c:strRef>
          </c:cat>
          <c:val>
            <c:numRef>
              <c:f>Sheet1!$B$5:$E$5</c:f>
              <c:numCache>
                <c:formatCode>General</c:formatCode>
                <c:ptCount val="4"/>
                <c:pt idx="0">
                  <c:v>7</c:v>
                </c:pt>
                <c:pt idx="1">
                  <c:v>36</c:v>
                </c:pt>
                <c:pt idx="2">
                  <c:v>112</c:v>
                </c:pt>
                <c:pt idx="3">
                  <c:v>78</c:v>
                </c:pt>
              </c:numCache>
            </c:numRef>
          </c:val>
          <c:smooth val="0"/>
        </c:ser>
        <c:ser>
          <c:idx val="1"/>
          <c:order val="1"/>
          <c:tx>
            <c:strRef>
              <c:f>Sheet1!$A$7</c:f>
              <c:strCache>
                <c:ptCount val="1"/>
                <c:pt idx="0">
                  <c:v>Diesel</c:v>
                </c:pt>
              </c:strCache>
            </c:strRef>
          </c:tx>
          <c:val>
            <c:numRef>
              <c:f>Sheet1!$B$7:$F$7</c:f>
              <c:numCache>
                <c:formatCode>General</c:formatCode>
                <c:ptCount val="5"/>
                <c:pt idx="0">
                  <c:v>1608</c:v>
                </c:pt>
                <c:pt idx="1">
                  <c:v>2890</c:v>
                </c:pt>
                <c:pt idx="2">
                  <c:v>3293</c:v>
                </c:pt>
                <c:pt idx="3">
                  <c:v>3266</c:v>
                </c:pt>
                <c:pt idx="4">
                  <c:v>6688</c:v>
                </c:pt>
              </c:numCache>
            </c:numRef>
          </c:val>
          <c:smooth val="0"/>
        </c:ser>
        <c:ser>
          <c:idx val="3"/>
          <c:order val="2"/>
          <c:tx>
            <c:strRef>
              <c:f>Sheet1!$A$9</c:f>
              <c:strCache>
                <c:ptCount val="1"/>
                <c:pt idx="0">
                  <c:v>Electric and Gasoline Hybrid</c:v>
                </c:pt>
              </c:strCache>
            </c:strRef>
          </c:tx>
          <c:val>
            <c:numRef>
              <c:f>Sheet1!$B$9:$F$9</c:f>
              <c:numCache>
                <c:formatCode>General</c:formatCode>
                <c:ptCount val="5"/>
                <c:pt idx="0">
                  <c:v>7968</c:v>
                </c:pt>
                <c:pt idx="1">
                  <c:v>5383</c:v>
                </c:pt>
                <c:pt idx="2">
                  <c:v>9333</c:v>
                </c:pt>
                <c:pt idx="3">
                  <c:v>11635</c:v>
                </c:pt>
                <c:pt idx="4">
                  <c:v>9124</c:v>
                </c:pt>
              </c:numCache>
            </c:numRef>
          </c:val>
          <c:smooth val="0"/>
        </c:ser>
        <c:ser>
          <c:idx val="4"/>
          <c:order val="3"/>
          <c:tx>
            <c:strRef>
              <c:f>Sheet1!$A$10</c:f>
              <c:strCache>
                <c:ptCount val="1"/>
                <c:pt idx="0">
                  <c:v>Flex-Fuel </c:v>
                </c:pt>
              </c:strCache>
            </c:strRef>
          </c:tx>
          <c:val>
            <c:numRef>
              <c:f>Sheet1!$B$10:$F$10</c:f>
              <c:numCache>
                <c:formatCode>General</c:formatCode>
                <c:ptCount val="5"/>
                <c:pt idx="0">
                  <c:v>5345</c:v>
                </c:pt>
                <c:pt idx="1">
                  <c:v>10548</c:v>
                </c:pt>
                <c:pt idx="2">
                  <c:v>13653</c:v>
                </c:pt>
                <c:pt idx="3">
                  <c:v>13694</c:v>
                </c:pt>
                <c:pt idx="4">
                  <c:v>20992</c:v>
                </c:pt>
              </c:numCache>
            </c:numRef>
          </c:val>
          <c:smooth val="0"/>
        </c:ser>
        <c:dLbls>
          <c:showLegendKey val="0"/>
          <c:showVal val="0"/>
          <c:showCatName val="0"/>
          <c:showSerName val="0"/>
          <c:showPercent val="0"/>
          <c:showBubbleSize val="0"/>
        </c:dLbls>
        <c:marker val="1"/>
        <c:smooth val="0"/>
        <c:axId val="33701248"/>
        <c:axId val="33711616"/>
      </c:lineChart>
      <c:catAx>
        <c:axId val="33701248"/>
        <c:scaling>
          <c:orientation val="minMax"/>
        </c:scaling>
        <c:delete val="0"/>
        <c:axPos val="b"/>
        <c:title>
          <c:tx>
            <c:rich>
              <a:bodyPr/>
              <a:lstStyle/>
              <a:p>
                <a:pPr>
                  <a:defRPr/>
                </a:pPr>
                <a:r>
                  <a:rPr lang="en-US"/>
                  <a:t>Year</a:t>
                </a:r>
              </a:p>
            </c:rich>
          </c:tx>
          <c:layout/>
          <c:overlay val="0"/>
        </c:title>
        <c:majorTickMark val="out"/>
        <c:minorTickMark val="none"/>
        <c:tickLblPos val="nextTo"/>
        <c:crossAx val="33711616"/>
        <c:crosses val="autoZero"/>
        <c:auto val="1"/>
        <c:lblAlgn val="ctr"/>
        <c:lblOffset val="100"/>
        <c:noMultiLvlLbl val="0"/>
      </c:catAx>
      <c:valAx>
        <c:axId val="33711616"/>
        <c:scaling>
          <c:orientation val="minMax"/>
        </c:scaling>
        <c:delete val="0"/>
        <c:axPos val="l"/>
        <c:majorGridlines/>
        <c:title>
          <c:tx>
            <c:rich>
              <a:bodyPr rot="-5400000" vert="horz"/>
              <a:lstStyle/>
              <a:p>
                <a:pPr>
                  <a:defRPr/>
                </a:pPr>
                <a:r>
                  <a:rPr lang="en-US"/>
                  <a:t>Number of Vehicles</a:t>
                </a:r>
              </a:p>
            </c:rich>
          </c:tx>
          <c:layout/>
          <c:overlay val="0"/>
        </c:title>
        <c:numFmt formatCode="General" sourceLinked="1"/>
        <c:majorTickMark val="out"/>
        <c:minorTickMark val="none"/>
        <c:tickLblPos val="nextTo"/>
        <c:crossAx val="33701248"/>
        <c:crosses val="autoZero"/>
        <c:crossBetween val="between"/>
      </c:valAx>
    </c:plotArea>
    <c:legend>
      <c:legendPos val="r"/>
      <c:layout>
        <c:manualLayout>
          <c:xMode val="edge"/>
          <c:yMode val="edge"/>
          <c:x val="0.80394306480920652"/>
          <c:y val="0.25511188701245957"/>
          <c:w val="0.19353215615325656"/>
          <c:h val="0.6073492631926658"/>
        </c:manualLayout>
      </c:layout>
      <c:overlay val="0"/>
    </c:legend>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79387897613715"/>
          <c:y val="0.10311324300840677"/>
          <c:w val="0.66791880372751566"/>
          <c:h val="0.70856436013523083"/>
        </c:manualLayout>
      </c:layout>
      <c:lineChart>
        <c:grouping val="standard"/>
        <c:varyColors val="0"/>
        <c:ser>
          <c:idx val="0"/>
          <c:order val="0"/>
          <c:tx>
            <c:strRef>
              <c:f>Sheet1!$A$19</c:f>
              <c:strCache>
                <c:ptCount val="1"/>
                <c:pt idx="0">
                  <c:v>CNG</c:v>
                </c:pt>
              </c:strCache>
            </c:strRef>
          </c:tx>
          <c:cat>
            <c:strRef>
              <c:f>Sheet1!$B$18:$E$18</c:f>
              <c:strCache>
                <c:ptCount val="4"/>
                <c:pt idx="0">
                  <c:v>2010</c:v>
                </c:pt>
                <c:pt idx="1">
                  <c:v>2011</c:v>
                </c:pt>
                <c:pt idx="2">
                  <c:v>2012</c:v>
                </c:pt>
                <c:pt idx="3">
                  <c:v>2013</c:v>
                </c:pt>
              </c:strCache>
            </c:strRef>
          </c:cat>
          <c:val>
            <c:numRef>
              <c:f>Sheet1!$B$19:$E$19</c:f>
              <c:numCache>
                <c:formatCode>General</c:formatCode>
                <c:ptCount val="4"/>
                <c:pt idx="0">
                  <c:v>43</c:v>
                </c:pt>
                <c:pt idx="1">
                  <c:v>64</c:v>
                </c:pt>
                <c:pt idx="2">
                  <c:v>127</c:v>
                </c:pt>
                <c:pt idx="3">
                  <c:v>21</c:v>
                </c:pt>
              </c:numCache>
            </c:numRef>
          </c:val>
          <c:smooth val="0"/>
        </c:ser>
        <c:ser>
          <c:idx val="1"/>
          <c:order val="1"/>
          <c:tx>
            <c:strRef>
              <c:f>Sheet1!$A$23</c:f>
              <c:strCache>
                <c:ptCount val="1"/>
                <c:pt idx="0">
                  <c:v>Diesel</c:v>
                </c:pt>
              </c:strCache>
            </c:strRef>
          </c:tx>
          <c:cat>
            <c:strRef>
              <c:f>Sheet1!$B$18:$E$18</c:f>
              <c:strCache>
                <c:ptCount val="4"/>
                <c:pt idx="0">
                  <c:v>2010</c:v>
                </c:pt>
                <c:pt idx="1">
                  <c:v>2011</c:v>
                </c:pt>
                <c:pt idx="2">
                  <c:v>2012</c:v>
                </c:pt>
                <c:pt idx="3">
                  <c:v>2013</c:v>
                </c:pt>
              </c:strCache>
            </c:strRef>
          </c:cat>
          <c:val>
            <c:numRef>
              <c:f>Sheet1!$B$23:$E$23</c:f>
              <c:numCache>
                <c:formatCode>General</c:formatCode>
                <c:ptCount val="4"/>
                <c:pt idx="0">
                  <c:v>493</c:v>
                </c:pt>
                <c:pt idx="1">
                  <c:v>658</c:v>
                </c:pt>
                <c:pt idx="2">
                  <c:v>940</c:v>
                </c:pt>
                <c:pt idx="3">
                  <c:v>716</c:v>
                </c:pt>
              </c:numCache>
            </c:numRef>
          </c:val>
          <c:smooth val="0"/>
        </c:ser>
        <c:ser>
          <c:idx val="2"/>
          <c:order val="2"/>
          <c:tx>
            <c:strRef>
              <c:f>Sheet1!$A$29</c:f>
              <c:strCache>
                <c:ptCount val="1"/>
                <c:pt idx="0">
                  <c:v>Electric and Diesel Hybrid</c:v>
                </c:pt>
              </c:strCache>
            </c:strRef>
          </c:tx>
          <c:cat>
            <c:strRef>
              <c:f>Sheet1!$B$18:$E$18</c:f>
              <c:strCache>
                <c:ptCount val="4"/>
                <c:pt idx="0">
                  <c:v>2010</c:v>
                </c:pt>
                <c:pt idx="1">
                  <c:v>2011</c:v>
                </c:pt>
                <c:pt idx="2">
                  <c:v>2012</c:v>
                </c:pt>
                <c:pt idx="3">
                  <c:v>2013</c:v>
                </c:pt>
              </c:strCache>
            </c:strRef>
          </c:cat>
          <c:val>
            <c:numRef>
              <c:f>Sheet1!$B$29:$E$29</c:f>
              <c:numCache>
                <c:formatCode>General</c:formatCode>
                <c:ptCount val="4"/>
                <c:pt idx="0">
                  <c:v>0</c:v>
                </c:pt>
                <c:pt idx="1">
                  <c:v>0</c:v>
                </c:pt>
                <c:pt idx="2">
                  <c:v>0</c:v>
                </c:pt>
                <c:pt idx="3">
                  <c:v>24</c:v>
                </c:pt>
              </c:numCache>
            </c:numRef>
          </c:val>
          <c:smooth val="0"/>
        </c:ser>
        <c:ser>
          <c:idx val="3"/>
          <c:order val="3"/>
          <c:tx>
            <c:strRef>
              <c:f>Sheet1!$A$31</c:f>
              <c:strCache>
                <c:ptCount val="1"/>
                <c:pt idx="0">
                  <c:v>FFV</c:v>
                </c:pt>
              </c:strCache>
            </c:strRef>
          </c:tx>
          <c:cat>
            <c:strRef>
              <c:f>Sheet1!$B$18:$E$18</c:f>
              <c:strCache>
                <c:ptCount val="4"/>
                <c:pt idx="0">
                  <c:v>2010</c:v>
                </c:pt>
                <c:pt idx="1">
                  <c:v>2011</c:v>
                </c:pt>
                <c:pt idx="2">
                  <c:v>2012</c:v>
                </c:pt>
                <c:pt idx="3">
                  <c:v>2013</c:v>
                </c:pt>
              </c:strCache>
            </c:strRef>
          </c:cat>
          <c:val>
            <c:numRef>
              <c:f>Sheet1!$B$31:$E$31</c:f>
              <c:numCache>
                <c:formatCode>General</c:formatCode>
                <c:ptCount val="4"/>
                <c:pt idx="0">
                  <c:v>4</c:v>
                </c:pt>
                <c:pt idx="1">
                  <c:v>14</c:v>
                </c:pt>
                <c:pt idx="2">
                  <c:v>19</c:v>
                </c:pt>
                <c:pt idx="3">
                  <c:v>5</c:v>
                </c:pt>
              </c:numCache>
            </c:numRef>
          </c:val>
          <c:smooth val="0"/>
        </c:ser>
        <c:ser>
          <c:idx val="4"/>
          <c:order val="4"/>
          <c:tx>
            <c:strRef>
              <c:f>Sheet1!$A$33</c:f>
              <c:strCache>
                <c:ptCount val="1"/>
                <c:pt idx="0">
                  <c:v>Gasoline</c:v>
                </c:pt>
              </c:strCache>
            </c:strRef>
          </c:tx>
          <c:cat>
            <c:strRef>
              <c:f>Sheet1!$B$18:$E$18</c:f>
              <c:strCache>
                <c:ptCount val="4"/>
                <c:pt idx="0">
                  <c:v>2010</c:v>
                </c:pt>
                <c:pt idx="1">
                  <c:v>2011</c:v>
                </c:pt>
                <c:pt idx="2">
                  <c:v>2012</c:v>
                </c:pt>
                <c:pt idx="3">
                  <c:v>2013</c:v>
                </c:pt>
              </c:strCache>
            </c:strRef>
          </c:cat>
          <c:val>
            <c:numRef>
              <c:f>Sheet1!$B$33:$E$33</c:f>
              <c:numCache>
                <c:formatCode>General</c:formatCode>
                <c:ptCount val="4"/>
                <c:pt idx="0">
                  <c:v>196</c:v>
                </c:pt>
                <c:pt idx="1">
                  <c:v>367</c:v>
                </c:pt>
                <c:pt idx="2">
                  <c:v>372</c:v>
                </c:pt>
                <c:pt idx="3">
                  <c:v>272</c:v>
                </c:pt>
              </c:numCache>
            </c:numRef>
          </c:val>
          <c:smooth val="0"/>
        </c:ser>
        <c:dLbls>
          <c:showLegendKey val="0"/>
          <c:showVal val="0"/>
          <c:showCatName val="0"/>
          <c:showSerName val="0"/>
          <c:showPercent val="0"/>
          <c:showBubbleSize val="0"/>
        </c:dLbls>
        <c:marker val="1"/>
        <c:smooth val="0"/>
        <c:axId val="33739136"/>
        <c:axId val="33741056"/>
      </c:lineChart>
      <c:catAx>
        <c:axId val="33739136"/>
        <c:scaling>
          <c:orientation val="minMax"/>
        </c:scaling>
        <c:delete val="0"/>
        <c:axPos val="b"/>
        <c:title>
          <c:tx>
            <c:rich>
              <a:bodyPr/>
              <a:lstStyle/>
              <a:p>
                <a:pPr>
                  <a:defRPr/>
                </a:pPr>
                <a:r>
                  <a:rPr lang="en-US"/>
                  <a:t>Year</a:t>
                </a:r>
              </a:p>
            </c:rich>
          </c:tx>
          <c:layout/>
          <c:overlay val="0"/>
        </c:title>
        <c:majorTickMark val="out"/>
        <c:minorTickMark val="none"/>
        <c:tickLblPos val="nextTo"/>
        <c:crossAx val="33741056"/>
        <c:crosses val="autoZero"/>
        <c:auto val="1"/>
        <c:lblAlgn val="ctr"/>
        <c:lblOffset val="100"/>
        <c:noMultiLvlLbl val="0"/>
      </c:catAx>
      <c:valAx>
        <c:axId val="33741056"/>
        <c:scaling>
          <c:orientation val="minMax"/>
        </c:scaling>
        <c:delete val="0"/>
        <c:axPos val="l"/>
        <c:majorGridlines/>
        <c:title>
          <c:tx>
            <c:rich>
              <a:bodyPr rot="-5400000" vert="horz"/>
              <a:lstStyle/>
              <a:p>
                <a:pPr>
                  <a:defRPr/>
                </a:pPr>
                <a:r>
                  <a:rPr lang="en-US"/>
                  <a:t>Number of Vehicles</a:t>
                </a:r>
              </a:p>
            </c:rich>
          </c:tx>
          <c:layout/>
          <c:overlay val="0"/>
        </c:title>
        <c:numFmt formatCode="General" sourceLinked="1"/>
        <c:majorTickMark val="out"/>
        <c:minorTickMark val="none"/>
        <c:tickLblPos val="nextTo"/>
        <c:crossAx val="33739136"/>
        <c:crosses val="autoZero"/>
        <c:crossBetween val="between"/>
      </c:valAx>
    </c:plotArea>
    <c:legend>
      <c:legendPos val="r"/>
      <c:layout>
        <c:manualLayout>
          <c:xMode val="edge"/>
          <c:yMode val="edge"/>
          <c:x val="0.81576916355105045"/>
          <c:y val="7.6027977778189662E-2"/>
          <c:w val="0.1701321851384891"/>
          <c:h val="0.83892894513801008"/>
        </c:manualLayout>
      </c:layout>
      <c:overlay val="0"/>
    </c:legend>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Gas Prices (CA)</c:v>
          </c:tx>
          <c:spPr>
            <a:solidFill>
              <a:schemeClr val="accent6">
                <a:lumMod val="60000"/>
                <a:lumOff val="40000"/>
              </a:schemeClr>
            </a:solidFill>
          </c:spPr>
          <c:invertIfNegative val="0"/>
          <c:cat>
            <c:numRef>
              <c:f>'[Chart in Microsoft Word]Sheet1'!$K$6:$O$6</c:f>
              <c:numCache>
                <c:formatCode>General</c:formatCode>
                <c:ptCount val="5"/>
                <c:pt idx="0">
                  <c:v>2010</c:v>
                </c:pt>
                <c:pt idx="1">
                  <c:v>2011</c:v>
                </c:pt>
                <c:pt idx="2">
                  <c:v>2012</c:v>
                </c:pt>
                <c:pt idx="3">
                  <c:v>2013</c:v>
                </c:pt>
                <c:pt idx="4">
                  <c:v>2014</c:v>
                </c:pt>
              </c:numCache>
            </c:numRef>
          </c:cat>
          <c:val>
            <c:numRef>
              <c:f>'[Chart in Microsoft Word]Sheet1'!$L$18:$L$22</c:f>
              <c:numCache>
                <c:formatCode>_("$"* #,##0.00_);_("$"* \(#,##0.00\);_("$"* "-"??_);_(@_)</c:formatCode>
                <c:ptCount val="5"/>
                <c:pt idx="0">
                  <c:v>3.0910000000000002</c:v>
                </c:pt>
                <c:pt idx="1">
                  <c:v>3.8170000000000002</c:v>
                </c:pt>
                <c:pt idx="2">
                  <c:v>4.0339999999999998</c:v>
                </c:pt>
                <c:pt idx="3">
                  <c:v>3.8860000000000001</c:v>
                </c:pt>
                <c:pt idx="4">
                  <c:v>3.7450000000000001</c:v>
                </c:pt>
              </c:numCache>
            </c:numRef>
          </c:val>
        </c:ser>
        <c:dLbls>
          <c:showLegendKey val="0"/>
          <c:showVal val="0"/>
          <c:showCatName val="0"/>
          <c:showSerName val="0"/>
          <c:showPercent val="0"/>
          <c:showBubbleSize val="0"/>
        </c:dLbls>
        <c:gapWidth val="150"/>
        <c:axId val="33799168"/>
        <c:axId val="33797248"/>
      </c:barChart>
      <c:lineChart>
        <c:grouping val="stacked"/>
        <c:varyColors val="0"/>
        <c:ser>
          <c:idx val="1"/>
          <c:order val="1"/>
          <c:tx>
            <c:v>Alt Fuel Vehicle Sales (San Diego)</c:v>
          </c:tx>
          <c:cat>
            <c:numRef>
              <c:f>'[Chart in Microsoft Word]Sheet1'!$K$18:$K$22</c:f>
              <c:numCache>
                <c:formatCode>General</c:formatCode>
                <c:ptCount val="5"/>
                <c:pt idx="0">
                  <c:v>2010</c:v>
                </c:pt>
                <c:pt idx="1">
                  <c:v>2011</c:v>
                </c:pt>
                <c:pt idx="2">
                  <c:v>2012</c:v>
                </c:pt>
                <c:pt idx="3">
                  <c:v>2013</c:v>
                </c:pt>
                <c:pt idx="4">
                  <c:v>2014</c:v>
                </c:pt>
              </c:numCache>
            </c:numRef>
          </c:cat>
          <c:val>
            <c:numRef>
              <c:f>'[Chart in Microsoft Word]Sheet1'!$K$7:$O$7</c:f>
              <c:numCache>
                <c:formatCode>_(* #,##0_);_(* \(#,##0\);_(* "-"??_);_(@_)</c:formatCode>
                <c:ptCount val="5"/>
                <c:pt idx="0">
                  <c:v>14957</c:v>
                </c:pt>
                <c:pt idx="1">
                  <c:v>19995</c:v>
                </c:pt>
                <c:pt idx="2">
                  <c:v>26876</c:v>
                </c:pt>
                <c:pt idx="3">
                  <c:v>30365</c:v>
                </c:pt>
                <c:pt idx="4">
                  <c:v>37836</c:v>
                </c:pt>
              </c:numCache>
            </c:numRef>
          </c:val>
          <c:smooth val="0"/>
        </c:ser>
        <c:ser>
          <c:idx val="2"/>
          <c:order val="2"/>
          <c:tx>
            <c:v>Gas Vehicle Sales (San Diego)</c:v>
          </c:tx>
          <c:cat>
            <c:numRef>
              <c:f>'[Chart in Microsoft Word]Sheet1'!$K$6:$O$6</c:f>
              <c:numCache>
                <c:formatCode>General</c:formatCode>
                <c:ptCount val="5"/>
                <c:pt idx="0">
                  <c:v>2010</c:v>
                </c:pt>
                <c:pt idx="1">
                  <c:v>2011</c:v>
                </c:pt>
                <c:pt idx="2">
                  <c:v>2012</c:v>
                </c:pt>
                <c:pt idx="3">
                  <c:v>2013</c:v>
                </c:pt>
                <c:pt idx="4">
                  <c:v>2014</c:v>
                </c:pt>
              </c:numCache>
            </c:numRef>
          </c:cat>
          <c:val>
            <c:numRef>
              <c:f>'[Chart in Microsoft Word]Sheet1'!$K$8:$O$8</c:f>
              <c:numCache>
                <c:formatCode>_(* #,##0_);_(* \(#,##0\);_(* "-"??_);_(@_)</c:formatCode>
                <c:ptCount val="5"/>
                <c:pt idx="0">
                  <c:v>89509</c:v>
                </c:pt>
                <c:pt idx="1">
                  <c:v>94039</c:v>
                </c:pt>
                <c:pt idx="2">
                  <c:v>108777</c:v>
                </c:pt>
                <c:pt idx="3">
                  <c:v>124963</c:v>
                </c:pt>
                <c:pt idx="4">
                  <c:v>143707</c:v>
                </c:pt>
              </c:numCache>
            </c:numRef>
          </c:val>
          <c:smooth val="0"/>
        </c:ser>
        <c:dLbls>
          <c:showLegendKey val="0"/>
          <c:showVal val="0"/>
          <c:showCatName val="0"/>
          <c:showSerName val="0"/>
          <c:showPercent val="0"/>
          <c:showBubbleSize val="0"/>
        </c:dLbls>
        <c:marker val="1"/>
        <c:smooth val="0"/>
        <c:axId val="33793152"/>
        <c:axId val="33795072"/>
      </c:lineChart>
      <c:catAx>
        <c:axId val="33793152"/>
        <c:scaling>
          <c:orientation val="minMax"/>
        </c:scaling>
        <c:delete val="0"/>
        <c:axPos val="b"/>
        <c:title>
          <c:tx>
            <c:rich>
              <a:bodyPr/>
              <a:lstStyle/>
              <a:p>
                <a:pPr>
                  <a:defRPr/>
                </a:pPr>
                <a:r>
                  <a:rPr lang="en-US"/>
                  <a:t>Year</a:t>
                </a:r>
              </a:p>
            </c:rich>
          </c:tx>
          <c:layout/>
          <c:overlay val="0"/>
        </c:title>
        <c:numFmt formatCode="General" sourceLinked="1"/>
        <c:majorTickMark val="out"/>
        <c:minorTickMark val="none"/>
        <c:tickLblPos val="nextTo"/>
        <c:crossAx val="33795072"/>
        <c:crosses val="autoZero"/>
        <c:auto val="1"/>
        <c:lblAlgn val="ctr"/>
        <c:lblOffset val="100"/>
        <c:noMultiLvlLbl val="0"/>
      </c:catAx>
      <c:valAx>
        <c:axId val="33795072"/>
        <c:scaling>
          <c:orientation val="minMax"/>
        </c:scaling>
        <c:delete val="0"/>
        <c:axPos val="l"/>
        <c:majorGridlines/>
        <c:title>
          <c:tx>
            <c:rich>
              <a:bodyPr rot="-5400000" vert="horz"/>
              <a:lstStyle/>
              <a:p>
                <a:pPr>
                  <a:defRPr/>
                </a:pPr>
                <a:r>
                  <a:rPr lang="en-US"/>
                  <a:t>Number of Vehicles</a:t>
                </a:r>
              </a:p>
            </c:rich>
          </c:tx>
          <c:layout/>
          <c:overlay val="0"/>
        </c:title>
        <c:numFmt formatCode="_(* #,##0_);_(* \(#,##0\);_(* &quot;-&quot;??_);_(@_)" sourceLinked="1"/>
        <c:majorTickMark val="out"/>
        <c:minorTickMark val="none"/>
        <c:tickLblPos val="nextTo"/>
        <c:crossAx val="33793152"/>
        <c:crosses val="autoZero"/>
        <c:crossBetween val="between"/>
      </c:valAx>
      <c:valAx>
        <c:axId val="33797248"/>
        <c:scaling>
          <c:orientation val="minMax"/>
        </c:scaling>
        <c:delete val="0"/>
        <c:axPos val="r"/>
        <c:title>
          <c:tx>
            <c:rich>
              <a:bodyPr rot="-5400000" vert="horz"/>
              <a:lstStyle/>
              <a:p>
                <a:pPr>
                  <a:defRPr/>
                </a:pPr>
                <a:r>
                  <a:rPr lang="en-US"/>
                  <a:t>Average Gas Price</a:t>
                </a:r>
              </a:p>
            </c:rich>
          </c:tx>
          <c:layout/>
          <c:overlay val="0"/>
        </c:title>
        <c:numFmt formatCode="_(&quot;$&quot;* #,##0.00_);_(&quot;$&quot;* \(#,##0.00\);_(&quot;$&quot;* &quot;-&quot;??_);_(@_)" sourceLinked="1"/>
        <c:majorTickMark val="out"/>
        <c:minorTickMark val="none"/>
        <c:tickLblPos val="nextTo"/>
        <c:crossAx val="33799168"/>
        <c:crosses val="max"/>
        <c:crossBetween val="between"/>
      </c:valAx>
      <c:catAx>
        <c:axId val="33799168"/>
        <c:scaling>
          <c:orientation val="minMax"/>
        </c:scaling>
        <c:delete val="1"/>
        <c:axPos val="b"/>
        <c:numFmt formatCode="General" sourceLinked="1"/>
        <c:majorTickMark val="out"/>
        <c:minorTickMark val="none"/>
        <c:tickLblPos val="nextTo"/>
        <c:crossAx val="33797248"/>
        <c:crosses val="autoZero"/>
        <c:auto val="1"/>
        <c:lblAlgn val="ctr"/>
        <c:lblOffset val="100"/>
        <c:noMultiLvlLbl val="0"/>
      </c:catAx>
    </c:plotArea>
    <c:legend>
      <c:legendPos val="b"/>
      <c:layout/>
      <c:overlay val="0"/>
    </c:legend>
    <c:plotVisOnly val="1"/>
    <c:dispBlanksAs val="zero"/>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289596153422"/>
          <c:y val="7.8426694478732906E-2"/>
          <c:w val="0.82164282405875733"/>
          <c:h val="0.71872029509824797"/>
        </c:manualLayout>
      </c:layout>
      <c:lineChart>
        <c:grouping val="standard"/>
        <c:varyColors val="0"/>
        <c:ser>
          <c:idx val="0"/>
          <c:order val="0"/>
          <c:tx>
            <c:strRef>
              <c:f>Formatted!$C$5</c:f>
              <c:strCache>
                <c:ptCount val="1"/>
                <c:pt idx="0">
                  <c:v>Estimated Cumulative EV Sales in San Diego</c:v>
                </c:pt>
              </c:strCache>
            </c:strRef>
          </c:tx>
          <c:marker>
            <c:symbol val="none"/>
          </c:marker>
          <c:cat>
            <c:numRef>
              <c:f>Formatted!$B$6:$B$10</c:f>
              <c:numCache>
                <c:formatCode>General</c:formatCode>
                <c:ptCount val="5"/>
                <c:pt idx="0">
                  <c:v>2010</c:v>
                </c:pt>
                <c:pt idx="1">
                  <c:v>2011</c:v>
                </c:pt>
                <c:pt idx="2">
                  <c:v>2012</c:v>
                </c:pt>
                <c:pt idx="3">
                  <c:v>2013</c:v>
                </c:pt>
                <c:pt idx="4">
                  <c:v>2014</c:v>
                </c:pt>
              </c:numCache>
            </c:numRef>
          </c:cat>
          <c:val>
            <c:numRef>
              <c:f>Formatted!$C$6:$C$10</c:f>
              <c:numCache>
                <c:formatCode>0</c:formatCode>
                <c:ptCount val="5"/>
                <c:pt idx="0">
                  <c:v>11</c:v>
                </c:pt>
                <c:pt idx="1">
                  <c:v>1082.7133847974169</c:v>
                </c:pt>
                <c:pt idx="2">
                  <c:v>2170.8564965875876</c:v>
                </c:pt>
                <c:pt idx="3">
                  <c:v>5482.4409515984853</c:v>
                </c:pt>
                <c:pt idx="4">
                  <c:v>9819.5518594561108</c:v>
                </c:pt>
              </c:numCache>
            </c:numRef>
          </c:val>
          <c:smooth val="0"/>
        </c:ser>
        <c:dLbls>
          <c:showLegendKey val="0"/>
          <c:showVal val="0"/>
          <c:showCatName val="0"/>
          <c:showSerName val="0"/>
          <c:showPercent val="0"/>
          <c:showBubbleSize val="0"/>
        </c:dLbls>
        <c:marker val="1"/>
        <c:smooth val="0"/>
        <c:axId val="33819648"/>
        <c:axId val="33825920"/>
      </c:lineChart>
      <c:catAx>
        <c:axId val="33819648"/>
        <c:scaling>
          <c:orientation val="minMax"/>
        </c:scaling>
        <c:delete val="0"/>
        <c:axPos val="b"/>
        <c:title>
          <c:tx>
            <c:rich>
              <a:bodyPr/>
              <a:lstStyle/>
              <a:p>
                <a:pPr>
                  <a:defRPr/>
                </a:pPr>
                <a:r>
                  <a:rPr lang="en-US"/>
                  <a:t>Year</a:t>
                </a:r>
              </a:p>
            </c:rich>
          </c:tx>
          <c:layout/>
          <c:overlay val="0"/>
        </c:title>
        <c:numFmt formatCode="General" sourceLinked="1"/>
        <c:majorTickMark val="out"/>
        <c:minorTickMark val="none"/>
        <c:tickLblPos val="nextTo"/>
        <c:crossAx val="33825920"/>
        <c:crosses val="autoZero"/>
        <c:auto val="1"/>
        <c:lblAlgn val="ctr"/>
        <c:lblOffset val="100"/>
        <c:noMultiLvlLbl val="0"/>
      </c:catAx>
      <c:valAx>
        <c:axId val="33825920"/>
        <c:scaling>
          <c:orientation val="minMax"/>
        </c:scaling>
        <c:delete val="0"/>
        <c:axPos val="l"/>
        <c:majorGridlines/>
        <c:title>
          <c:tx>
            <c:rich>
              <a:bodyPr rot="-5400000" vert="horz"/>
              <a:lstStyle/>
              <a:p>
                <a:pPr>
                  <a:defRPr/>
                </a:pPr>
                <a:r>
                  <a:rPr lang="en-US"/>
                  <a:t>Number of Vehicles</a:t>
                </a:r>
              </a:p>
            </c:rich>
          </c:tx>
          <c:layout/>
          <c:overlay val="0"/>
        </c:title>
        <c:numFmt formatCode="0" sourceLinked="1"/>
        <c:majorTickMark val="out"/>
        <c:minorTickMark val="none"/>
        <c:tickLblPos val="nextTo"/>
        <c:crossAx val="33819648"/>
        <c:crosses val="autoZero"/>
        <c:crossBetween val="midCat"/>
      </c:valAx>
    </c:plotArea>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6945958678242"/>
          <c:y val="5.7192982456140351E-2"/>
          <c:w val="0.82977925836193556"/>
          <c:h val="0.64577309415270456"/>
        </c:manualLayout>
      </c:layout>
      <c:barChart>
        <c:barDir val="col"/>
        <c:grouping val="stacked"/>
        <c:varyColors val="0"/>
        <c:ser>
          <c:idx val="1"/>
          <c:order val="0"/>
          <c:tx>
            <c:strRef>
              <c:f>Sheet3!$B$1</c:f>
              <c:strCache>
                <c:ptCount val="1"/>
                <c:pt idx="0">
                  <c:v>All Other Alt Fuel Vehicles</c:v>
                </c:pt>
              </c:strCache>
            </c:strRef>
          </c:tx>
          <c:spPr>
            <a:solidFill>
              <a:schemeClr val="accent5">
                <a:lumMod val="75000"/>
              </a:schemeClr>
            </a:solidFill>
          </c:spPr>
          <c:invertIfNegative val="0"/>
          <c:cat>
            <c:numRef>
              <c:f>Sheet3!$A$2:$A$12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Sheet3!$B$2:$B$12</c:f>
              <c:numCache>
                <c:formatCode>General</c:formatCode>
                <c:ptCount val="11"/>
                <c:pt idx="0">
                  <c:v>3303</c:v>
                </c:pt>
                <c:pt idx="1">
                  <c:v>3415</c:v>
                </c:pt>
                <c:pt idx="2">
                  <c:v>3335</c:v>
                </c:pt>
                <c:pt idx="3">
                  <c:v>2501</c:v>
                </c:pt>
                <c:pt idx="4">
                  <c:v>2504</c:v>
                </c:pt>
                <c:pt idx="5">
                  <c:v>3526</c:v>
                </c:pt>
                <c:pt idx="6">
                  <c:v>6657</c:v>
                </c:pt>
                <c:pt idx="7">
                  <c:v>5708</c:v>
                </c:pt>
                <c:pt idx="8">
                  <c:v>4221</c:v>
                </c:pt>
                <c:pt idx="9">
                  <c:v>5778</c:v>
                </c:pt>
                <c:pt idx="10">
                  <c:v>7296</c:v>
                </c:pt>
              </c:numCache>
            </c:numRef>
          </c:val>
        </c:ser>
        <c:ser>
          <c:idx val="2"/>
          <c:order val="1"/>
          <c:tx>
            <c:strRef>
              <c:f>Sheet3!$C$1</c:f>
              <c:strCache>
                <c:ptCount val="1"/>
                <c:pt idx="0">
                  <c:v>Electric Vehicles (incl. hybrids)</c:v>
                </c:pt>
              </c:strCache>
            </c:strRef>
          </c:tx>
          <c:invertIfNegative val="0"/>
          <c:cat>
            <c:numRef>
              <c:f>Sheet3!$A$2:$A$12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Sheet3!$C$2:$C$12</c:f>
              <c:numCache>
                <c:formatCode>General</c:formatCode>
                <c:ptCount val="11"/>
                <c:pt idx="0">
                  <c:v>380</c:v>
                </c:pt>
                <c:pt idx="1">
                  <c:v>320</c:v>
                </c:pt>
                <c:pt idx="2">
                  <c:v>380</c:v>
                </c:pt>
                <c:pt idx="3">
                  <c:v>330</c:v>
                </c:pt>
                <c:pt idx="4">
                  <c:v>380</c:v>
                </c:pt>
                <c:pt idx="5">
                  <c:v>46</c:v>
                </c:pt>
                <c:pt idx="6">
                  <c:v>990</c:v>
                </c:pt>
                <c:pt idx="7">
                  <c:v>1252</c:v>
                </c:pt>
                <c:pt idx="8">
                  <c:v>1907</c:v>
                </c:pt>
                <c:pt idx="9">
                  <c:v>2055</c:v>
                </c:pt>
                <c:pt idx="10">
                  <c:v>1403</c:v>
                </c:pt>
              </c:numCache>
            </c:numRef>
          </c:val>
        </c:ser>
        <c:dLbls>
          <c:showLegendKey val="0"/>
          <c:showVal val="0"/>
          <c:showCatName val="0"/>
          <c:showSerName val="0"/>
          <c:showPercent val="0"/>
          <c:showBubbleSize val="0"/>
        </c:dLbls>
        <c:gapWidth val="150"/>
        <c:overlap val="100"/>
        <c:axId val="33892224"/>
        <c:axId val="33902592"/>
      </c:barChart>
      <c:catAx>
        <c:axId val="33892224"/>
        <c:scaling>
          <c:orientation val="minMax"/>
        </c:scaling>
        <c:delete val="0"/>
        <c:axPos val="b"/>
        <c:title>
          <c:tx>
            <c:rich>
              <a:bodyPr/>
              <a:lstStyle/>
              <a:p>
                <a:pPr>
                  <a:defRPr/>
                </a:pPr>
                <a:r>
                  <a:rPr lang="en-US"/>
                  <a:t>Year</a:t>
                </a:r>
              </a:p>
            </c:rich>
          </c:tx>
          <c:layout/>
          <c:overlay val="0"/>
        </c:title>
        <c:numFmt formatCode="General" sourceLinked="1"/>
        <c:majorTickMark val="out"/>
        <c:minorTickMark val="none"/>
        <c:tickLblPos val="nextTo"/>
        <c:crossAx val="33902592"/>
        <c:crosses val="autoZero"/>
        <c:auto val="1"/>
        <c:lblAlgn val="ctr"/>
        <c:lblOffset val="100"/>
        <c:noMultiLvlLbl val="0"/>
      </c:catAx>
      <c:valAx>
        <c:axId val="33902592"/>
        <c:scaling>
          <c:orientation val="minMax"/>
        </c:scaling>
        <c:delete val="0"/>
        <c:axPos val="l"/>
        <c:majorGridlines/>
        <c:title>
          <c:tx>
            <c:rich>
              <a:bodyPr rot="-5400000" vert="horz"/>
              <a:lstStyle/>
              <a:p>
                <a:pPr>
                  <a:defRPr/>
                </a:pPr>
                <a:r>
                  <a:rPr lang="en-US"/>
                  <a:t>Number of Vehicles</a:t>
                </a:r>
              </a:p>
            </c:rich>
          </c:tx>
          <c:layout/>
          <c:overlay val="0"/>
        </c:title>
        <c:numFmt formatCode="General" sourceLinked="1"/>
        <c:majorTickMark val="out"/>
        <c:minorTickMark val="none"/>
        <c:tickLblPos val="nextTo"/>
        <c:crossAx val="33892224"/>
        <c:crosses val="autoZero"/>
        <c:crossBetween val="between"/>
      </c:valAx>
    </c:plotArea>
    <c:legend>
      <c:legendPos val="b"/>
      <c:layout/>
      <c:overlay val="0"/>
    </c:legend>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tx2"/>
            </a:solidFill>
          </c:spPr>
          <c:invertIfNegative val="0"/>
          <c:cat>
            <c:numRef>
              <c:f>Sheet2!$O$3:$O$6</c:f>
              <c:numCache>
                <c:formatCode>General</c:formatCode>
                <c:ptCount val="4"/>
                <c:pt idx="0">
                  <c:v>2011</c:v>
                </c:pt>
                <c:pt idx="1">
                  <c:v>2012</c:v>
                </c:pt>
                <c:pt idx="2">
                  <c:v>2013</c:v>
                </c:pt>
                <c:pt idx="3">
                  <c:v>2014</c:v>
                </c:pt>
              </c:numCache>
            </c:numRef>
          </c:cat>
          <c:val>
            <c:numRef>
              <c:f>Sheet2!$P$3:$P$6</c:f>
              <c:numCache>
                <c:formatCode>#,##0</c:formatCode>
                <c:ptCount val="4"/>
                <c:pt idx="0">
                  <c:v>11039.748</c:v>
                </c:pt>
                <c:pt idx="1">
                  <c:v>11094.044</c:v>
                </c:pt>
                <c:pt idx="2">
                  <c:v>12833.183000000001</c:v>
                </c:pt>
                <c:pt idx="3" formatCode="General">
                  <c:v>13600</c:v>
                </c:pt>
              </c:numCache>
            </c:numRef>
          </c:val>
        </c:ser>
        <c:dLbls>
          <c:showLegendKey val="0"/>
          <c:showVal val="0"/>
          <c:showCatName val="0"/>
          <c:showSerName val="0"/>
          <c:showPercent val="0"/>
          <c:showBubbleSize val="0"/>
        </c:dLbls>
        <c:gapWidth val="150"/>
        <c:axId val="33923072"/>
        <c:axId val="33924992"/>
      </c:barChart>
      <c:catAx>
        <c:axId val="33923072"/>
        <c:scaling>
          <c:orientation val="minMax"/>
        </c:scaling>
        <c:delete val="0"/>
        <c:axPos val="b"/>
        <c:title>
          <c:tx>
            <c:rich>
              <a:bodyPr/>
              <a:lstStyle/>
              <a:p>
                <a:pPr>
                  <a:defRPr/>
                </a:pPr>
                <a:r>
                  <a:rPr lang="en-US"/>
                  <a:t>Year</a:t>
                </a:r>
              </a:p>
            </c:rich>
          </c:tx>
          <c:layout/>
          <c:overlay val="0"/>
        </c:title>
        <c:numFmt formatCode="General" sourceLinked="1"/>
        <c:majorTickMark val="out"/>
        <c:minorTickMark val="none"/>
        <c:tickLblPos val="nextTo"/>
        <c:crossAx val="33924992"/>
        <c:crosses val="autoZero"/>
        <c:auto val="1"/>
        <c:lblAlgn val="ctr"/>
        <c:lblOffset val="100"/>
        <c:noMultiLvlLbl val="0"/>
      </c:catAx>
      <c:valAx>
        <c:axId val="33924992"/>
        <c:scaling>
          <c:orientation val="minMax"/>
          <c:min val="0"/>
        </c:scaling>
        <c:delete val="0"/>
        <c:axPos val="l"/>
        <c:majorGridlines/>
        <c:title>
          <c:tx>
            <c:rich>
              <a:bodyPr rot="-5400000" vert="horz"/>
              <a:lstStyle/>
              <a:p>
                <a:pPr>
                  <a:defRPr/>
                </a:pPr>
                <a:r>
                  <a:rPr lang="en-US"/>
                  <a:t>GGE (in thousands)</a:t>
                </a:r>
              </a:p>
            </c:rich>
          </c:tx>
          <c:layout>
            <c:manualLayout>
              <c:xMode val="edge"/>
              <c:yMode val="edge"/>
              <c:x val="1.8817856718310419E-2"/>
              <c:y val="0.4372731945641708"/>
            </c:manualLayout>
          </c:layout>
          <c:overlay val="0"/>
        </c:title>
        <c:numFmt formatCode="#,##0" sourceLinked="1"/>
        <c:majorTickMark val="out"/>
        <c:minorTickMark val="none"/>
        <c:tickLblPos val="nextTo"/>
        <c:crossAx val="33923072"/>
        <c:crosses val="autoZero"/>
        <c:crossBetween val="between"/>
      </c:valAx>
    </c:plotArea>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yriad 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090CF-5CAF-456D-A62A-65FF44EBC26A}">
  <ds:schemaRefs>
    <ds:schemaRef ds:uri="http://schemas.openxmlformats.org/officeDocument/2006/bibliography"/>
  </ds:schemaRefs>
</ds:datastoreItem>
</file>

<file path=customXml/itemProps2.xml><?xml version="1.0" encoding="utf-8"?>
<ds:datastoreItem xmlns:ds="http://schemas.openxmlformats.org/officeDocument/2006/customXml" ds:itemID="{59DD60ED-C202-4CC4-8E04-DF22D521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11944</Words>
  <Characters>68087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CCSE</Company>
  <LinksUpToDate>false</LinksUpToDate>
  <CharactersWithSpaces>79872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Kleinheider</dc:creator>
  <cp:lastModifiedBy>Jessica Jinn</cp:lastModifiedBy>
  <cp:revision>8</cp:revision>
  <cp:lastPrinted>2015-04-08T19:27:00Z</cp:lastPrinted>
  <dcterms:created xsi:type="dcterms:W3CDTF">2015-04-09T21:11:00Z</dcterms:created>
  <dcterms:modified xsi:type="dcterms:W3CDTF">2015-04-09T21:36:00Z</dcterms:modified>
</cp:coreProperties>
</file>