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5940"/>
        <w:gridCol w:w="4770"/>
      </w:tblGrid>
      <w:tr w:rsidR="0048119A" w:rsidRPr="00A3510A" w:rsidTr="0030273C">
        <w:trPr>
          <w:cantSplit/>
          <w:tblHeader/>
        </w:trPr>
        <w:tc>
          <w:tcPr>
            <w:tcW w:w="3798" w:type="dxa"/>
            <w:shd w:val="clear" w:color="auto" w:fill="auto"/>
            <w:vAlign w:val="center"/>
          </w:tcPr>
          <w:p w:rsidR="0048119A" w:rsidRPr="00A3510A" w:rsidRDefault="0048119A" w:rsidP="00A46E29">
            <w:pPr>
              <w:rPr>
                <w:rFonts w:asciiTheme="minorHAnsi" w:hAnsiTheme="minorHAnsi" w:cstheme="minorHAnsi"/>
                <w:b/>
              </w:rPr>
            </w:pPr>
            <w:r w:rsidRPr="00A3510A">
              <w:rPr>
                <w:rFonts w:asciiTheme="minorHAnsi" w:hAnsiTheme="minorHAnsi" w:cstheme="minorHAnsi"/>
                <w:b/>
              </w:rPr>
              <w:t>Barrier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8119A" w:rsidRPr="00A3510A" w:rsidRDefault="004041CD" w:rsidP="004041C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Recent </w:t>
            </w:r>
            <w:r w:rsidR="0048119A">
              <w:rPr>
                <w:rFonts w:asciiTheme="minorHAnsi" w:hAnsiTheme="minorHAnsi" w:cstheme="minorHAnsi"/>
                <w:b/>
              </w:rPr>
              <w:t xml:space="preserve">Progress 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48119A" w:rsidRDefault="00712588" w:rsidP="00A46E2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  <w:r w:rsidR="0048119A">
              <w:rPr>
                <w:rFonts w:asciiTheme="minorHAnsi" w:hAnsiTheme="minorHAnsi" w:cstheme="minorHAnsi"/>
                <w:b/>
              </w:rPr>
              <w:t>ction Items</w:t>
            </w:r>
          </w:p>
        </w:tc>
      </w:tr>
      <w:tr w:rsidR="0048119A" w:rsidRPr="00294846" w:rsidTr="0030273C">
        <w:trPr>
          <w:cantSplit/>
        </w:trPr>
        <w:tc>
          <w:tcPr>
            <w:tcW w:w="3798" w:type="dxa"/>
            <w:shd w:val="clear" w:color="auto" w:fill="auto"/>
          </w:tcPr>
          <w:p w:rsidR="0048119A" w:rsidRPr="00294846" w:rsidRDefault="0048119A" w:rsidP="00A46E2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C5287">
              <w:rPr>
                <w:rFonts w:asciiTheme="minorHAnsi" w:hAnsiTheme="minorHAnsi" w:cstheme="minorHAnsi"/>
                <w:b/>
                <w:sz w:val="20"/>
              </w:rPr>
              <w:t>Lack of Public Knowledge of PEV and EVSE</w:t>
            </w:r>
            <w:r w:rsidRPr="00294846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:rsidR="0048119A" w:rsidRPr="00294846" w:rsidRDefault="0048119A" w:rsidP="00A46E29">
            <w:pPr>
              <w:rPr>
                <w:rFonts w:asciiTheme="minorHAnsi" w:hAnsiTheme="minorHAnsi" w:cstheme="minorHAnsi"/>
                <w:sz w:val="20"/>
              </w:rPr>
            </w:pPr>
            <w:r w:rsidRPr="00294846">
              <w:rPr>
                <w:rFonts w:asciiTheme="minorHAnsi" w:hAnsiTheme="minorHAnsi" w:cstheme="minorHAnsi"/>
                <w:sz w:val="20"/>
              </w:rPr>
              <w:t>Municipal outreach to Local Residents and Businesses</w:t>
            </w:r>
          </w:p>
        </w:tc>
        <w:tc>
          <w:tcPr>
            <w:tcW w:w="5940" w:type="dxa"/>
            <w:shd w:val="clear" w:color="auto" w:fill="auto"/>
          </w:tcPr>
          <w:p w:rsidR="00C62C36" w:rsidRPr="006779DF" w:rsidRDefault="001A4106" w:rsidP="001A410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PEV sales numbers are increasing   </w:t>
            </w:r>
          </w:p>
        </w:tc>
        <w:tc>
          <w:tcPr>
            <w:tcW w:w="4770" w:type="dxa"/>
            <w:shd w:val="clear" w:color="auto" w:fill="auto"/>
          </w:tcPr>
          <w:p w:rsidR="0048119A" w:rsidRPr="006779DF" w:rsidRDefault="00D939F3" w:rsidP="0046222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CSE and SANDAG</w:t>
            </w:r>
            <w:r w:rsidR="00462229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62229" w:rsidRPr="00343612">
              <w:rPr>
                <w:rFonts w:asciiTheme="minorHAnsi" w:hAnsiTheme="minorHAnsi" w:cstheme="minorHAnsi"/>
                <w:sz w:val="20"/>
              </w:rPr>
              <w:t>to educate dealers on PEVs</w:t>
            </w:r>
            <w:r>
              <w:rPr>
                <w:rFonts w:asciiTheme="minorHAnsi" w:hAnsiTheme="minorHAnsi" w:cstheme="minorHAnsi"/>
                <w:sz w:val="20"/>
              </w:rPr>
              <w:t xml:space="preserve"> through upcoming PEV Implementation work </w:t>
            </w:r>
          </w:p>
        </w:tc>
      </w:tr>
      <w:tr w:rsidR="00CA6F17" w:rsidRPr="00294846" w:rsidTr="0030273C">
        <w:trPr>
          <w:cantSplit/>
        </w:trPr>
        <w:tc>
          <w:tcPr>
            <w:tcW w:w="3798" w:type="dxa"/>
            <w:shd w:val="clear" w:color="auto" w:fill="auto"/>
          </w:tcPr>
          <w:p w:rsidR="00CA6F17" w:rsidRPr="00294846" w:rsidRDefault="00343612" w:rsidP="00A46E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Regional Planning and Public Agency EVSE Installations </w:t>
            </w:r>
          </w:p>
          <w:p w:rsidR="00CA6F17" w:rsidRPr="00294846" w:rsidRDefault="00CA6F17" w:rsidP="0095341A">
            <w:pPr>
              <w:tabs>
                <w:tab w:val="left" w:pos="169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94846">
              <w:rPr>
                <w:rFonts w:asciiTheme="minorHAnsi" w:hAnsiTheme="minorHAnsi" w:cstheme="minorHAnsi"/>
                <w:sz w:val="20"/>
                <w:szCs w:val="20"/>
              </w:rPr>
              <w:t xml:space="preserve">Regional land use and transportation plans served as a basis to identify optimal public EVSE sites. In rollout of EV Project, experience was different from planning. </w:t>
            </w:r>
            <w:r w:rsidR="00343612">
              <w:rPr>
                <w:rFonts w:asciiTheme="minorHAnsi" w:hAnsiTheme="minorHAnsi" w:cstheme="minorHAnsi"/>
                <w:sz w:val="20"/>
                <w:szCs w:val="20"/>
              </w:rPr>
              <w:t xml:space="preserve">Need to work with public agencies to identify common project barriers and subsequently encourage and facilitate EVSE installations. </w:t>
            </w:r>
          </w:p>
        </w:tc>
        <w:tc>
          <w:tcPr>
            <w:tcW w:w="5940" w:type="dxa"/>
            <w:shd w:val="clear" w:color="auto" w:fill="auto"/>
          </w:tcPr>
          <w:p w:rsidR="006A6FE4" w:rsidRDefault="00DA7917" w:rsidP="006A6F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Electric best practice documents available through the California Statewide Alternative Fuels and Fleets project </w:t>
            </w:r>
          </w:p>
          <w:p w:rsidR="00DA7917" w:rsidRDefault="00D939F3" w:rsidP="006A6F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Identified where current public infrastructure is located</w:t>
            </w:r>
          </w:p>
          <w:p w:rsidR="00343612" w:rsidRPr="006779DF" w:rsidRDefault="00343612" w:rsidP="006A6F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Jurisdictions in the region have already successfully gone through a CEC EV infrastructure grant solicitation in 2014 </w:t>
            </w:r>
          </w:p>
        </w:tc>
        <w:tc>
          <w:tcPr>
            <w:tcW w:w="4770" w:type="dxa"/>
            <w:shd w:val="clear" w:color="auto" w:fill="auto"/>
          </w:tcPr>
          <w:p w:rsidR="006A6FE4" w:rsidRDefault="00343612" w:rsidP="003A494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Create t</w:t>
            </w:r>
            <w:r w:rsidR="0095341A">
              <w:rPr>
                <w:rFonts w:asciiTheme="minorHAnsi" w:hAnsiTheme="minorHAnsi" w:cstheme="minorHAnsi"/>
                <w:sz w:val="20"/>
                <w:szCs w:val="20"/>
              </w:rPr>
              <w:t>oolkit to a</w:t>
            </w:r>
            <w:r w:rsidR="00DA7917">
              <w:rPr>
                <w:rFonts w:asciiTheme="minorHAnsi" w:hAnsiTheme="minorHAnsi" w:cstheme="minorHAnsi"/>
                <w:sz w:val="20"/>
                <w:szCs w:val="20"/>
              </w:rPr>
              <w:t xml:space="preserve">ssist individual cities with specific siting needs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– this will help cities identify which areas in their jurisdiction can benefit from the installation of charging stations </w:t>
            </w:r>
          </w:p>
          <w:p w:rsidR="00343612" w:rsidRDefault="00343612" w:rsidP="0034361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Use prior experience to apply for upcoming CEC EV infrastructure grant solicitation</w:t>
            </w:r>
          </w:p>
          <w:p w:rsidR="00343612" w:rsidRDefault="00343612" w:rsidP="0034361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Develop best practice document allowing successful applicants to share their experience with other jurisdictions</w:t>
            </w:r>
          </w:p>
          <w:p w:rsidR="00283C9E" w:rsidRPr="00BA1315" w:rsidRDefault="00283C9E" w:rsidP="00BA13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6F17" w:rsidRPr="00294846" w:rsidTr="0030273C">
        <w:trPr>
          <w:cantSplit/>
          <w:trHeight w:val="1025"/>
        </w:trPr>
        <w:tc>
          <w:tcPr>
            <w:tcW w:w="3798" w:type="dxa"/>
            <w:shd w:val="clear" w:color="auto" w:fill="auto"/>
          </w:tcPr>
          <w:p w:rsidR="00CA6F17" w:rsidRPr="00294846" w:rsidRDefault="00744B3C" w:rsidP="00A46E2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294846">
              <w:rPr>
                <w:sz w:val="20"/>
              </w:rPr>
              <w:br w:type="page"/>
            </w:r>
            <w:r w:rsidR="00CA6F17" w:rsidRPr="00EF4C8F">
              <w:rPr>
                <w:rFonts w:asciiTheme="minorHAnsi" w:hAnsiTheme="minorHAnsi" w:cstheme="minorHAnsi"/>
                <w:b/>
                <w:sz w:val="20"/>
              </w:rPr>
              <w:t xml:space="preserve"> Workplace Charging</w:t>
            </w:r>
          </w:p>
          <w:p w:rsidR="00CA6F17" w:rsidRPr="00294846" w:rsidRDefault="00CA6F17" w:rsidP="00A46E2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294846">
              <w:rPr>
                <w:rFonts w:asciiTheme="minorHAnsi" w:hAnsiTheme="minorHAnsi" w:cstheme="minorHAnsi"/>
                <w:sz w:val="20"/>
              </w:rPr>
              <w:t>Lack of understanding regarding benefits and approaches to understanding workplace charging.</w:t>
            </w:r>
          </w:p>
        </w:tc>
        <w:tc>
          <w:tcPr>
            <w:tcW w:w="5940" w:type="dxa"/>
            <w:shd w:val="clear" w:color="auto" w:fill="auto"/>
          </w:tcPr>
          <w:p w:rsidR="00EA032B" w:rsidRDefault="00BA1FFF" w:rsidP="00F44EB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PEV </w:t>
            </w:r>
            <w:r w:rsidR="00AF333D">
              <w:rPr>
                <w:rFonts w:asciiTheme="minorHAnsi" w:hAnsiTheme="minorHAnsi" w:cstheme="minorHAnsi"/>
                <w:sz w:val="20"/>
              </w:rPr>
              <w:t xml:space="preserve">Collaborative-developed workplace charging </w:t>
            </w:r>
            <w:r w:rsidR="00297333">
              <w:rPr>
                <w:rFonts w:asciiTheme="minorHAnsi" w:hAnsiTheme="minorHAnsi" w:cstheme="minorHAnsi"/>
                <w:sz w:val="20"/>
              </w:rPr>
              <w:t xml:space="preserve">guidance documents </w:t>
            </w:r>
            <w:r w:rsidR="00AF333D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BA1FFF" w:rsidRPr="00297333" w:rsidRDefault="00BA1FFF" w:rsidP="00297333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EA032B" w:rsidRPr="006779DF" w:rsidRDefault="00D939F3" w:rsidP="00ED572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CSE and SANDAG to focus on expanding charging opportunities here </w:t>
            </w:r>
            <w:r w:rsidR="00ED5722">
              <w:rPr>
                <w:rFonts w:asciiTheme="minorHAnsi" w:hAnsiTheme="minorHAnsi" w:cstheme="minorHAnsi"/>
                <w:sz w:val="20"/>
              </w:rPr>
              <w:t>through upcoming PEV Implementation work</w:t>
            </w:r>
          </w:p>
        </w:tc>
      </w:tr>
      <w:tr w:rsidR="00CA6F17" w:rsidRPr="00294846" w:rsidTr="0030273C">
        <w:trPr>
          <w:cantSplit/>
        </w:trPr>
        <w:tc>
          <w:tcPr>
            <w:tcW w:w="3798" w:type="dxa"/>
            <w:shd w:val="clear" w:color="auto" w:fill="auto"/>
          </w:tcPr>
          <w:p w:rsidR="00CA6F17" w:rsidRPr="00294846" w:rsidRDefault="00CA6F17" w:rsidP="00A46E2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294846">
              <w:rPr>
                <w:rFonts w:asciiTheme="minorHAnsi" w:hAnsiTheme="minorHAnsi" w:cstheme="minorHAnsi"/>
                <w:b/>
                <w:sz w:val="20"/>
              </w:rPr>
              <w:t>PEVs in Government Fleets</w:t>
            </w:r>
          </w:p>
          <w:p w:rsidR="00CA6F17" w:rsidRPr="00294846" w:rsidRDefault="00CA6F17" w:rsidP="00A46E29">
            <w:pPr>
              <w:rPr>
                <w:rFonts w:asciiTheme="minorHAnsi" w:hAnsiTheme="minorHAnsi" w:cstheme="minorHAnsi"/>
                <w:sz w:val="20"/>
              </w:rPr>
            </w:pPr>
            <w:r w:rsidRPr="00294846">
              <w:rPr>
                <w:rFonts w:asciiTheme="minorHAnsi" w:hAnsiTheme="minorHAnsi" w:cstheme="minorHAnsi"/>
                <w:sz w:val="20"/>
              </w:rPr>
              <w:t>Procurement justification needed for local public fleets</w:t>
            </w:r>
            <w:r w:rsidR="00EE58C1" w:rsidRPr="00294846">
              <w:rPr>
                <w:rFonts w:asciiTheme="minorHAnsi" w:hAnsiTheme="minorHAnsi" w:cstheme="minorHAnsi"/>
                <w:sz w:val="20"/>
              </w:rPr>
              <w:t xml:space="preserve">. </w:t>
            </w:r>
            <w:r w:rsidRPr="00294846">
              <w:rPr>
                <w:rFonts w:asciiTheme="minorHAnsi" w:hAnsiTheme="minorHAnsi" w:cstheme="minorHAnsi"/>
                <w:sz w:val="20"/>
              </w:rPr>
              <w:t>Need to describe PEV benefits, including role in reducing municipal GHGs for Climate Action Plans.</w:t>
            </w:r>
          </w:p>
        </w:tc>
        <w:tc>
          <w:tcPr>
            <w:tcW w:w="5940" w:type="dxa"/>
            <w:shd w:val="clear" w:color="auto" w:fill="auto"/>
          </w:tcPr>
          <w:p w:rsidR="00283C9E" w:rsidRDefault="00343612" w:rsidP="00283C9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</w:t>
            </w:r>
            <w:r w:rsidR="0095341A">
              <w:rPr>
                <w:rFonts w:asciiTheme="minorHAnsi" w:hAnsiTheme="minorHAnsi" w:cstheme="minorHAnsi"/>
                <w:sz w:val="20"/>
              </w:rPr>
              <w:t xml:space="preserve">eplacing </w:t>
            </w:r>
            <w:r>
              <w:rPr>
                <w:rFonts w:asciiTheme="minorHAnsi" w:hAnsiTheme="minorHAnsi" w:cstheme="minorHAnsi"/>
                <w:sz w:val="20"/>
              </w:rPr>
              <w:t>government fleet vehicles</w:t>
            </w:r>
            <w:r w:rsidR="00D939F3">
              <w:rPr>
                <w:rFonts w:asciiTheme="minorHAnsi" w:hAnsiTheme="minorHAnsi" w:cstheme="minorHAnsi"/>
                <w:sz w:val="20"/>
              </w:rPr>
              <w:t xml:space="preserve"> with alternative fuel vehicles</w:t>
            </w:r>
            <w:r w:rsidR="0095341A">
              <w:rPr>
                <w:rFonts w:asciiTheme="minorHAnsi" w:hAnsiTheme="minorHAnsi" w:cstheme="minorHAnsi"/>
                <w:sz w:val="20"/>
              </w:rPr>
              <w:t xml:space="preserve"> is </w:t>
            </w:r>
            <w:r>
              <w:rPr>
                <w:rFonts w:asciiTheme="minorHAnsi" w:hAnsiTheme="minorHAnsi" w:cstheme="minorHAnsi"/>
                <w:sz w:val="20"/>
              </w:rPr>
              <w:t xml:space="preserve">a strategy </w:t>
            </w:r>
            <w:r w:rsidR="0095341A">
              <w:rPr>
                <w:rFonts w:asciiTheme="minorHAnsi" w:hAnsiTheme="minorHAnsi" w:cstheme="minorHAnsi"/>
                <w:sz w:val="20"/>
              </w:rPr>
              <w:t>noted in some Climate Action Plans, or other energy planning documents</w:t>
            </w:r>
          </w:p>
          <w:p w:rsidR="00283C9E" w:rsidRPr="00283C9E" w:rsidRDefault="00283C9E" w:rsidP="00283C9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Identified cities that are eligible for the Public Fleet Pilot Project</w:t>
            </w:r>
          </w:p>
        </w:tc>
        <w:tc>
          <w:tcPr>
            <w:tcW w:w="4770" w:type="dxa"/>
            <w:shd w:val="clear" w:color="auto" w:fill="auto"/>
          </w:tcPr>
          <w:p w:rsidR="00CA6F17" w:rsidRDefault="00BA1FFF" w:rsidP="00C8611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CSE will reach out to San Diego County cities that are eligible for extra CVRP funding (through the Public Fleet Pilot Project) </w:t>
            </w:r>
          </w:p>
          <w:p w:rsidR="0095341A" w:rsidRPr="006779DF" w:rsidRDefault="00343612" w:rsidP="0034361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Develop m</w:t>
            </w:r>
            <w:r w:rsidR="0095341A">
              <w:rPr>
                <w:rFonts w:asciiTheme="minorHAnsi" w:hAnsiTheme="minorHAnsi" w:cstheme="minorHAnsi"/>
                <w:sz w:val="20"/>
              </w:rPr>
              <w:t>odels for financing vehicle acquistion</w:t>
            </w:r>
          </w:p>
        </w:tc>
      </w:tr>
      <w:tr w:rsidR="000A65C0" w:rsidRPr="00294846" w:rsidTr="0030273C">
        <w:trPr>
          <w:cantSplit/>
        </w:trPr>
        <w:tc>
          <w:tcPr>
            <w:tcW w:w="3798" w:type="dxa"/>
            <w:shd w:val="clear" w:color="auto" w:fill="auto"/>
          </w:tcPr>
          <w:p w:rsidR="000A65C0" w:rsidRDefault="00AF333D" w:rsidP="00A46E2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EVSE at Multi-Unit Dwellings</w:t>
            </w:r>
          </w:p>
          <w:p w:rsidR="00AF333D" w:rsidRPr="00AF333D" w:rsidRDefault="00AF333D" w:rsidP="00A46E29">
            <w:pPr>
              <w:rPr>
                <w:rFonts w:asciiTheme="minorHAnsi" w:hAnsiTheme="minorHAnsi" w:cstheme="minorHAnsi"/>
                <w:sz w:val="20"/>
              </w:rPr>
            </w:pPr>
            <w:r w:rsidRPr="00AF333D">
              <w:rPr>
                <w:rFonts w:asciiTheme="minorHAnsi" w:hAnsiTheme="minorHAnsi" w:cstheme="minorHAnsi"/>
                <w:sz w:val="20"/>
              </w:rPr>
              <w:t>Consumer lack of knowledge regarding EVSE in</w:t>
            </w:r>
            <w:r>
              <w:rPr>
                <w:rFonts w:asciiTheme="minorHAnsi" w:hAnsiTheme="minorHAnsi" w:cstheme="minorHAnsi"/>
                <w:sz w:val="20"/>
              </w:rPr>
              <w:t xml:space="preserve">stallation in these buildings. </w:t>
            </w:r>
            <w:r w:rsidRPr="00AF333D">
              <w:rPr>
                <w:rFonts w:asciiTheme="minorHAnsi" w:hAnsiTheme="minorHAnsi" w:cstheme="minorHAnsi"/>
                <w:sz w:val="20"/>
              </w:rPr>
              <w:t>Need to educate and work with HOAs to identify and find solutions to unique building challenges.</w:t>
            </w:r>
          </w:p>
        </w:tc>
        <w:tc>
          <w:tcPr>
            <w:tcW w:w="5940" w:type="dxa"/>
            <w:shd w:val="clear" w:color="auto" w:fill="auto"/>
          </w:tcPr>
          <w:p w:rsidR="000A65C0" w:rsidRPr="006779DF" w:rsidRDefault="00AF333D" w:rsidP="0029733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PEV Collaborative-developed multi-unit dwelling charging </w:t>
            </w:r>
            <w:r w:rsidR="00297333">
              <w:rPr>
                <w:rFonts w:asciiTheme="minorHAnsi" w:hAnsiTheme="minorHAnsi" w:cstheme="minorHAnsi"/>
                <w:sz w:val="20"/>
              </w:rPr>
              <w:t>guidance documents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4770" w:type="dxa"/>
            <w:shd w:val="clear" w:color="auto" w:fill="auto"/>
          </w:tcPr>
          <w:p w:rsidR="000A65C0" w:rsidRDefault="00D939F3" w:rsidP="00ED572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CSE and SANDAG to focus on expanding charging opportunities here </w:t>
            </w:r>
            <w:r w:rsidR="00ED5722">
              <w:rPr>
                <w:rFonts w:asciiTheme="minorHAnsi" w:hAnsiTheme="minorHAnsi" w:cstheme="minorHAnsi"/>
                <w:sz w:val="20"/>
              </w:rPr>
              <w:t>through upcoming PEV Implementation work</w:t>
            </w:r>
          </w:p>
        </w:tc>
        <w:bookmarkStart w:id="0" w:name="_GoBack"/>
        <w:bookmarkEnd w:id="0"/>
      </w:tr>
    </w:tbl>
    <w:p w:rsidR="00A46E29" w:rsidRDefault="00A46E29" w:rsidP="00A46E29">
      <w:pPr>
        <w:spacing w:after="0" w:line="240" w:lineRule="auto"/>
      </w:pPr>
    </w:p>
    <w:sectPr w:rsidR="00A46E29" w:rsidSect="00A46E29"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32A" w:rsidRDefault="0057132A" w:rsidP="00302849">
      <w:pPr>
        <w:spacing w:after="0" w:line="240" w:lineRule="auto"/>
      </w:pPr>
      <w:r>
        <w:separator/>
      </w:r>
    </w:p>
  </w:endnote>
  <w:endnote w:type="continuationSeparator" w:id="0">
    <w:p w:rsidR="0057132A" w:rsidRDefault="0057132A" w:rsidP="0030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Arial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32A" w:rsidRDefault="0057132A" w:rsidP="00302849">
      <w:pPr>
        <w:spacing w:after="0" w:line="240" w:lineRule="auto"/>
      </w:pPr>
      <w:r>
        <w:separator/>
      </w:r>
    </w:p>
  </w:footnote>
  <w:footnote w:type="continuationSeparator" w:id="0">
    <w:p w:rsidR="0057132A" w:rsidRDefault="0057132A" w:rsidP="00302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463"/>
    <w:multiLevelType w:val="hybridMultilevel"/>
    <w:tmpl w:val="B0C89D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AA6053"/>
    <w:multiLevelType w:val="hybridMultilevel"/>
    <w:tmpl w:val="42201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435C21"/>
    <w:multiLevelType w:val="hybridMultilevel"/>
    <w:tmpl w:val="6854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957D52"/>
    <w:multiLevelType w:val="hybridMultilevel"/>
    <w:tmpl w:val="F1A85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5866F9"/>
    <w:multiLevelType w:val="hybridMultilevel"/>
    <w:tmpl w:val="5BAAE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3E"/>
    <w:rsid w:val="00001943"/>
    <w:rsid w:val="00042B20"/>
    <w:rsid w:val="00070801"/>
    <w:rsid w:val="00075562"/>
    <w:rsid w:val="000A65C0"/>
    <w:rsid w:val="000B0C15"/>
    <w:rsid w:val="000B1C2E"/>
    <w:rsid w:val="000C4FC5"/>
    <w:rsid w:val="000C5F76"/>
    <w:rsid w:val="000E738E"/>
    <w:rsid w:val="00100324"/>
    <w:rsid w:val="0010565F"/>
    <w:rsid w:val="001064C8"/>
    <w:rsid w:val="00125F03"/>
    <w:rsid w:val="00132FDD"/>
    <w:rsid w:val="001361A5"/>
    <w:rsid w:val="00141FB6"/>
    <w:rsid w:val="00153E6D"/>
    <w:rsid w:val="00190150"/>
    <w:rsid w:val="001915FA"/>
    <w:rsid w:val="001A14F4"/>
    <w:rsid w:val="001A4106"/>
    <w:rsid w:val="001D092B"/>
    <w:rsid w:val="00214F03"/>
    <w:rsid w:val="00214F14"/>
    <w:rsid w:val="00224891"/>
    <w:rsid w:val="002325CF"/>
    <w:rsid w:val="00236F12"/>
    <w:rsid w:val="002500D5"/>
    <w:rsid w:val="00283C9E"/>
    <w:rsid w:val="00287655"/>
    <w:rsid w:val="00294846"/>
    <w:rsid w:val="00297333"/>
    <w:rsid w:val="002A700C"/>
    <w:rsid w:val="002C2BA5"/>
    <w:rsid w:val="0030273C"/>
    <w:rsid w:val="00302849"/>
    <w:rsid w:val="00322024"/>
    <w:rsid w:val="00323757"/>
    <w:rsid w:val="00332EC8"/>
    <w:rsid w:val="00343612"/>
    <w:rsid w:val="00350863"/>
    <w:rsid w:val="00357BB9"/>
    <w:rsid w:val="0039551B"/>
    <w:rsid w:val="003A2D68"/>
    <w:rsid w:val="003A3007"/>
    <w:rsid w:val="003A4943"/>
    <w:rsid w:val="003C32AB"/>
    <w:rsid w:val="003C5DAF"/>
    <w:rsid w:val="003D26E0"/>
    <w:rsid w:val="003E26D9"/>
    <w:rsid w:val="003E7E48"/>
    <w:rsid w:val="004041CD"/>
    <w:rsid w:val="00446DEC"/>
    <w:rsid w:val="00455E59"/>
    <w:rsid w:val="00462229"/>
    <w:rsid w:val="00475F68"/>
    <w:rsid w:val="0048119A"/>
    <w:rsid w:val="00482309"/>
    <w:rsid w:val="00484AD4"/>
    <w:rsid w:val="00486ABC"/>
    <w:rsid w:val="004B3BFD"/>
    <w:rsid w:val="004B54C8"/>
    <w:rsid w:val="004D0873"/>
    <w:rsid w:val="004F14AB"/>
    <w:rsid w:val="004F6207"/>
    <w:rsid w:val="004F6B53"/>
    <w:rsid w:val="005122FB"/>
    <w:rsid w:val="00533F2C"/>
    <w:rsid w:val="0057132A"/>
    <w:rsid w:val="005935FC"/>
    <w:rsid w:val="005A6736"/>
    <w:rsid w:val="005B7D95"/>
    <w:rsid w:val="005C6F2E"/>
    <w:rsid w:val="005F303B"/>
    <w:rsid w:val="0060182A"/>
    <w:rsid w:val="00601FF9"/>
    <w:rsid w:val="0060253F"/>
    <w:rsid w:val="0060448A"/>
    <w:rsid w:val="00616C59"/>
    <w:rsid w:val="006779DF"/>
    <w:rsid w:val="006965D3"/>
    <w:rsid w:val="00696651"/>
    <w:rsid w:val="006A6FE4"/>
    <w:rsid w:val="006B413C"/>
    <w:rsid w:val="006E48F5"/>
    <w:rsid w:val="00701281"/>
    <w:rsid w:val="00712588"/>
    <w:rsid w:val="0071671E"/>
    <w:rsid w:val="00736283"/>
    <w:rsid w:val="00736C5D"/>
    <w:rsid w:val="00741406"/>
    <w:rsid w:val="00744B3C"/>
    <w:rsid w:val="00766A51"/>
    <w:rsid w:val="007A35AE"/>
    <w:rsid w:val="007B0130"/>
    <w:rsid w:val="007E2502"/>
    <w:rsid w:val="007F61DD"/>
    <w:rsid w:val="00815DB7"/>
    <w:rsid w:val="0083163E"/>
    <w:rsid w:val="0085419C"/>
    <w:rsid w:val="00855BEB"/>
    <w:rsid w:val="008A5943"/>
    <w:rsid w:val="008B7382"/>
    <w:rsid w:val="008C6AD9"/>
    <w:rsid w:val="008F349B"/>
    <w:rsid w:val="008F64CB"/>
    <w:rsid w:val="008F70F2"/>
    <w:rsid w:val="00946E09"/>
    <w:rsid w:val="0095341A"/>
    <w:rsid w:val="00955DC6"/>
    <w:rsid w:val="00985B67"/>
    <w:rsid w:val="009A6687"/>
    <w:rsid w:val="009B1A2F"/>
    <w:rsid w:val="009F5FD6"/>
    <w:rsid w:val="009F77F3"/>
    <w:rsid w:val="00A1322D"/>
    <w:rsid w:val="00A2631D"/>
    <w:rsid w:val="00A31D0D"/>
    <w:rsid w:val="00A3510A"/>
    <w:rsid w:val="00A4003A"/>
    <w:rsid w:val="00A41902"/>
    <w:rsid w:val="00A46E29"/>
    <w:rsid w:val="00A61944"/>
    <w:rsid w:val="00A91348"/>
    <w:rsid w:val="00A94675"/>
    <w:rsid w:val="00A96F15"/>
    <w:rsid w:val="00AC6192"/>
    <w:rsid w:val="00AD673B"/>
    <w:rsid w:val="00AF333D"/>
    <w:rsid w:val="00B13B71"/>
    <w:rsid w:val="00B63C4B"/>
    <w:rsid w:val="00B74FB4"/>
    <w:rsid w:val="00BA1315"/>
    <w:rsid w:val="00BA1FFF"/>
    <w:rsid w:val="00BC5287"/>
    <w:rsid w:val="00BD29A2"/>
    <w:rsid w:val="00C223A9"/>
    <w:rsid w:val="00C43C54"/>
    <w:rsid w:val="00C62C36"/>
    <w:rsid w:val="00C65A3B"/>
    <w:rsid w:val="00C70631"/>
    <w:rsid w:val="00C8611A"/>
    <w:rsid w:val="00C8767A"/>
    <w:rsid w:val="00CA070F"/>
    <w:rsid w:val="00CA6F17"/>
    <w:rsid w:val="00CC4DD0"/>
    <w:rsid w:val="00CD2751"/>
    <w:rsid w:val="00CE1A9A"/>
    <w:rsid w:val="00D133E0"/>
    <w:rsid w:val="00D3230D"/>
    <w:rsid w:val="00D4221A"/>
    <w:rsid w:val="00D43646"/>
    <w:rsid w:val="00D54F01"/>
    <w:rsid w:val="00D57DC0"/>
    <w:rsid w:val="00D65B35"/>
    <w:rsid w:val="00D92B5D"/>
    <w:rsid w:val="00D939F3"/>
    <w:rsid w:val="00DA7917"/>
    <w:rsid w:val="00DB2E9A"/>
    <w:rsid w:val="00DD2B45"/>
    <w:rsid w:val="00DD39B9"/>
    <w:rsid w:val="00DD711F"/>
    <w:rsid w:val="00E1271B"/>
    <w:rsid w:val="00E12FD2"/>
    <w:rsid w:val="00E14D2D"/>
    <w:rsid w:val="00E2522D"/>
    <w:rsid w:val="00E422AB"/>
    <w:rsid w:val="00E57F48"/>
    <w:rsid w:val="00E641C4"/>
    <w:rsid w:val="00EA032B"/>
    <w:rsid w:val="00EA3811"/>
    <w:rsid w:val="00EC6091"/>
    <w:rsid w:val="00EC6763"/>
    <w:rsid w:val="00ED254A"/>
    <w:rsid w:val="00ED5722"/>
    <w:rsid w:val="00EE1133"/>
    <w:rsid w:val="00EE58C1"/>
    <w:rsid w:val="00EF4C8F"/>
    <w:rsid w:val="00F02D89"/>
    <w:rsid w:val="00F128F7"/>
    <w:rsid w:val="00F24183"/>
    <w:rsid w:val="00F44EBA"/>
    <w:rsid w:val="00F56258"/>
    <w:rsid w:val="00F62A91"/>
    <w:rsid w:val="00F65BBC"/>
    <w:rsid w:val="00F76DEF"/>
    <w:rsid w:val="00F8363F"/>
    <w:rsid w:val="00F83DCC"/>
    <w:rsid w:val="00F87DC6"/>
    <w:rsid w:val="00F90461"/>
    <w:rsid w:val="00FA0CF8"/>
    <w:rsid w:val="00FB46A0"/>
    <w:rsid w:val="00FB5C33"/>
    <w:rsid w:val="00FD0E13"/>
    <w:rsid w:val="00FD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utiger LT Com 55 Roman" w:eastAsiaTheme="minorHAnsi" w:hAnsi="Frutiger LT Com 55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2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849"/>
  </w:style>
  <w:style w:type="paragraph" w:styleId="Footer">
    <w:name w:val="footer"/>
    <w:basedOn w:val="Normal"/>
    <w:link w:val="FooterChar"/>
    <w:uiPriority w:val="99"/>
    <w:unhideWhenUsed/>
    <w:rsid w:val="00302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849"/>
  </w:style>
  <w:style w:type="paragraph" w:styleId="BalloonText">
    <w:name w:val="Balloon Text"/>
    <w:basedOn w:val="Normal"/>
    <w:link w:val="BalloonTextChar"/>
    <w:uiPriority w:val="99"/>
    <w:semiHidden/>
    <w:unhideWhenUsed/>
    <w:rsid w:val="00302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8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4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8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8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89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75F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utiger LT Com 55 Roman" w:eastAsiaTheme="minorHAnsi" w:hAnsi="Frutiger LT Com 55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2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849"/>
  </w:style>
  <w:style w:type="paragraph" w:styleId="Footer">
    <w:name w:val="footer"/>
    <w:basedOn w:val="Normal"/>
    <w:link w:val="FooterChar"/>
    <w:uiPriority w:val="99"/>
    <w:unhideWhenUsed/>
    <w:rsid w:val="00302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849"/>
  </w:style>
  <w:style w:type="paragraph" w:styleId="BalloonText">
    <w:name w:val="Balloon Text"/>
    <w:basedOn w:val="Normal"/>
    <w:link w:val="BalloonTextChar"/>
    <w:uiPriority w:val="99"/>
    <w:semiHidden/>
    <w:unhideWhenUsed/>
    <w:rsid w:val="00302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8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4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8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8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89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75F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67EF8-E9CB-41A6-A722-59641E1D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Freedman, Susan</dc:creator>
  <cp:lastModifiedBy>Jessica Jinn</cp:lastModifiedBy>
  <cp:revision>2</cp:revision>
  <cp:lastPrinted>2013-07-10T23:03:00Z</cp:lastPrinted>
  <dcterms:created xsi:type="dcterms:W3CDTF">2015-03-12T19:20:00Z</dcterms:created>
  <dcterms:modified xsi:type="dcterms:W3CDTF">2015-03-12T19:20:00Z</dcterms:modified>
</cp:coreProperties>
</file>